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orçamento-preliminar-ifc"/>
    <w:p>
      <w:pPr>
        <w:pStyle w:val="Heading1"/>
      </w:pPr>
      <w:r>
        <w:t xml:space="preserve">Orçamento Preliminar IFC</w:t>
      </w:r>
    </w:p>
    <w:p>
      <w:pPr>
        <w:pStyle w:val="FirstParagraph"/>
      </w:pPr>
      <w:r>
        <w:t xml:space="preserve">Aplicativo web que gera um</w:t>
      </w:r>
      <w:r>
        <w:t xml:space="preserve"> </w:t>
      </w:r>
      <w:r>
        <w:rPr>
          <w:b/>
          <w:bCs/>
        </w:rPr>
        <w:t xml:space="preserve">orçamento preliminar de obra a partir de um arquivo</w:t>
      </w:r>
      <w:r>
        <w:rPr>
          <w:b/>
          <w:bCs/>
        </w:rPr>
        <w:t xml:space="preserve"> </w:t>
      </w:r>
      <w:r>
        <w:rPr>
          <w:b/>
          <w:bCs/>
        </w:rPr>
        <w:t xml:space="preserve">IFC (BIM)</w:t>
      </w:r>
      <w:r>
        <w:t xml:space="preserve">. Importe um</w:t>
      </w:r>
      <w:r>
        <w:t xml:space="preserve"> </w:t>
      </w:r>
      <w:r>
        <w:rPr>
          <w:rStyle w:val="VerbatimChar"/>
        </w:rPr>
        <w:t xml:space="preserve">.ifc</w:t>
      </w:r>
      <w:r>
        <w:t xml:space="preserve">, visualize o modelo em 3D, e o app lê os elementos</w:t>
      </w:r>
      <w:r>
        <w:t xml:space="preserve"> </w:t>
      </w:r>
      <w:r>
        <w:t xml:space="preserve">construtivos e suas quantidades (áreas, comprimentos, volumes),</w:t>
      </w:r>
      <w:r>
        <w:t xml:space="preserve"> </w:t>
      </w:r>
      <w:r>
        <w:rPr>
          <w:b/>
          <w:bCs/>
        </w:rPr>
        <w:t xml:space="preserve">traduz para</w:t>
      </w:r>
      <w:r>
        <w:rPr>
          <w:b/>
          <w:bCs/>
        </w:rPr>
        <w:t xml:space="preserve"> </w:t>
      </w:r>
      <w:r>
        <w:rPr>
          <w:b/>
          <w:bCs/>
        </w:rPr>
        <w:t xml:space="preserve">itens de orçamento</w:t>
      </w:r>
      <w:r>
        <w:t xml:space="preserve"> </w:t>
      </w:r>
      <w:r>
        <w:t xml:space="preserve">(serviço, unidade, quantidade) e</w:t>
      </w:r>
      <w:r>
        <w:t xml:space="preserve"> </w:t>
      </w:r>
      <w:r>
        <w:rPr>
          <w:b/>
          <w:bCs/>
        </w:rPr>
        <w:t xml:space="preserve">precifica</w:t>
      </w:r>
      <w:r>
        <w:t xml:space="preserve"> </w:t>
      </w:r>
      <w:r>
        <w:t xml:space="preserve">usando uma</w:t>
      </w:r>
      <w:r>
        <w:t xml:space="preserve"> </w:t>
      </w:r>
      <w:r>
        <w:t xml:space="preserve">referência de custos</w:t>
      </w:r>
      <w:r>
        <w:t xml:space="preserve"> </w:t>
      </w:r>
      <w:r>
        <w:rPr>
          <w:b/>
          <w:bCs/>
        </w:rPr>
        <w:t xml:space="preserve">SINAPI</w:t>
      </w:r>
      <w:r>
        <w:t xml:space="preserve">. Exporte a planilha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p>
      <w:pPr>
        <w:pStyle w:val="BlockText"/>
      </w:pPr>
      <w:r>
        <w:t xml:space="preserve">O IFC é estruturado e já traz as quantidades calculadas, gerando um takeoff</w:t>
      </w:r>
      <w:r>
        <w:t xml:space="preserve"> </w:t>
      </w:r>
      <w:r>
        <w:t xml:space="preserve">muito mais confiável do que extrair de uma planta em PDF.</w:t>
      </w:r>
    </w:p>
    <w:bookmarkStart w:id="9" w:name="recursos"/>
    <w:p>
      <w:pPr>
        <w:pStyle w:val="Heading2"/>
      </w:pPr>
      <w:r>
        <w:t xml:space="preserve">Recursos</w:t>
      </w:r>
    </w:p>
    <w:p>
      <w:pPr>
        <w:pStyle w:val="Compact"/>
        <w:numPr>
          <w:ilvl w:val="0"/>
          <w:numId w:val="1001"/>
        </w:numPr>
      </w:pPr>
      <w:r>
        <w:t xml:space="preserve">Upload de</w:t>
      </w:r>
      <w:r>
        <w:t xml:space="preserve"> </w:t>
      </w:r>
      <w:r>
        <w:rPr>
          <w:rStyle w:val="VerbatimChar"/>
        </w:rPr>
        <w:t xml:space="preserve">.ifc</w:t>
      </w:r>
      <w:r>
        <w:t xml:space="preserve"> </w:t>
      </w:r>
      <w:r>
        <w:t xml:space="preserve">(testado com IFC2X3 exportado do Revit) e</w:t>
      </w:r>
      <w:r>
        <w:t xml:space="preserve"> </w:t>
      </w:r>
      <w:r>
        <w:rPr>
          <w:b/>
          <w:bCs/>
        </w:rPr>
        <w:t xml:space="preserve">visualizador 3D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Parser leve de STEP/ISO-10303-21 (sem WASM): lê elementos e</w:t>
      </w:r>
      <w:r>
        <w:t xml:space="preserve"> </w:t>
      </w:r>
      <w:r>
        <w:rPr>
          <w:rStyle w:val="VerbatimChar"/>
        </w:rPr>
        <w:t xml:space="preserve">BaseQuantities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Normalização de unidades (mm→m, mm²→m², mm³→m³) e dedup de quantidades</w:t>
      </w:r>
      <w:r>
        <w:t xml:space="preserve"> </w:t>
      </w:r>
      <w:r>
        <w:t xml:space="preserve">duplicadas pelo exportador.</w:t>
      </w:r>
    </w:p>
    <w:p>
      <w:pPr>
        <w:pStyle w:val="Compact"/>
        <w:numPr>
          <w:ilvl w:val="0"/>
          <w:numId w:val="1001"/>
        </w:numPr>
      </w:pPr>
      <w:r>
        <w:t xml:space="preserve">Tradução para itens de orçamento agrupados por etapa: serviços preliminares,</w:t>
      </w:r>
      <w:r>
        <w:t xml:space="preserve"> </w:t>
      </w:r>
      <w:r>
        <w:t xml:space="preserve">fundações, superestrutura, alvenaria, cobertura, esquadrias, revestimentos,</w:t>
      </w:r>
      <w:r>
        <w:t xml:space="preserve"> </w:t>
      </w:r>
      <w:r>
        <w:t xml:space="preserve">pisos e pintura.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de Custos</w:t>
      </w:r>
      <w:r>
        <w:t xml:space="preserve"> </w:t>
      </w:r>
      <w:r>
        <w:t xml:space="preserve">selecionável: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SINAPI</w:t>
      </w:r>
      <w:r>
        <w:t xml:space="preserve"> </w:t>
      </w:r>
      <w:r>
        <w:t xml:space="preserve">(padrão) — preços de referência (SP, não desonerado) alimentam a</w:t>
      </w:r>
      <w:r>
        <w:t xml:space="preserve"> </w:t>
      </w:r>
      <w:r>
        <w:t xml:space="preserve">coluna de preço unitário, com a unidade compatível ao serviço. Mostra o</w:t>
      </w:r>
      <w:r>
        <w:t xml:space="preserve"> </w:t>
      </w:r>
      <w:r>
        <w:t xml:space="preserve">código/descrição da composição SINAPI usada.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Inserido pelo Usuário</w:t>
      </w:r>
      <w:r>
        <w:t xml:space="preserve"> </w:t>
      </w:r>
      <w:r>
        <w:t xml:space="preserve">— preços digitados manualmente.</w:t>
      </w:r>
    </w:p>
    <w:p>
      <w:pPr>
        <w:pStyle w:val="Compact"/>
        <w:numPr>
          <w:ilvl w:val="1"/>
          <w:numId w:val="1002"/>
        </w:numPr>
      </w:pPr>
      <w:r>
        <w:t xml:space="preserve">No modo SINAPI o usuário pode editar o preço de um item específico; o botão</w:t>
      </w:r>
      <w:r>
        <w:t xml:space="preserve"> </w:t>
      </w:r>
      <w:r>
        <w:rPr>
          <w:b/>
          <w:bCs/>
        </w:rPr>
        <w:t xml:space="preserve">↺ SINAPI</w:t>
      </w:r>
      <w:r>
        <w:t xml:space="preserve"> </w:t>
      </w:r>
      <w:r>
        <w:t xml:space="preserve">devolve aquele item à referência.</w:t>
      </w:r>
    </w:p>
    <w:p>
      <w:pPr>
        <w:pStyle w:val="Compact"/>
        <w:numPr>
          <w:ilvl w:val="0"/>
          <w:numId w:val="1001"/>
        </w:numPr>
      </w:pPr>
      <w:r>
        <w:t xml:space="preserve">Destaque no modelo 3D dos objetos paramétricos de cada item do orçamento.</w:t>
      </w:r>
    </w:p>
    <w:p>
      <w:pPr>
        <w:pStyle w:val="Compact"/>
        <w:numPr>
          <w:ilvl w:val="0"/>
          <w:numId w:val="1001"/>
        </w:numPr>
      </w:pPr>
      <w:r>
        <w:t xml:space="preserve">Exportação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com abas</w:t>
      </w:r>
      <w:r>
        <w:t xml:space="preserve"> </w:t>
      </w:r>
      <w:r>
        <w:rPr>
          <w:b/>
          <w:bCs/>
        </w:rPr>
        <w:t xml:space="preserve">Orçamento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Detalhe</w:t>
      </w:r>
      <w:r>
        <w:t xml:space="preserve">.</w:t>
      </w:r>
    </w:p>
    <w:bookmarkEnd w:id="9"/>
    <w:bookmarkStart w:id="10" w:name="stack"/>
    <w:p>
      <w:pPr>
        <w:pStyle w:val="Heading2"/>
      </w:pPr>
      <w:r>
        <w:t xml:space="preserve">Stack</w:t>
      </w:r>
    </w:p>
    <w:p>
      <w:pPr>
        <w:pStyle w:val="FirstParagraph"/>
      </w:pPr>
      <w:r>
        <w:t xml:space="preserve">Next.js (App Router, TypeScript) · Tailwind CSS · exceljs · web-ifc (viewer 3D).</w:t>
      </w:r>
    </w:p>
    <w:bookmarkEnd w:id="10"/>
    <w:bookmarkStart w:id="11" w:name="desenvolvimento"/>
    <w:p>
      <w:pPr>
        <w:pStyle w:val="Heading2"/>
      </w:pPr>
      <w:r>
        <w:t xml:space="preserve">Desenvolvimento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        # http://localhost:3000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npm run typecheck</w:t>
      </w:r>
    </w:p>
    <w:p>
      <w:pPr>
        <w:pStyle w:val="FirstParagraph"/>
      </w:pPr>
      <w:r>
        <w:t xml:space="preserve">Requer Node.js 18+ (testado com Node 24).</w:t>
      </w:r>
    </w:p>
    <w:bookmarkEnd w:id="11"/>
    <w:bookmarkStart w:id="12" w:name="estrutura"/>
    <w:p>
      <w:pPr>
        <w:pStyle w:val="Heading2"/>
      </w:pPr>
      <w:r>
        <w:t xml:space="preserve">Estrutura</w:t>
      </w:r>
    </w:p>
    <w:p>
      <w:pPr>
        <w:pStyle w:val="SourceCode"/>
      </w:pPr>
      <w:r>
        <w:rPr>
          <w:rStyle w:val="VerbatimChar"/>
        </w:rPr>
        <w:t xml:space="preserve">app/page.tsx                 # UI: upload IFC, viewer 3D, tabela e download</w:t>
      </w:r>
      <w:r>
        <w:br/>
      </w:r>
      <w:r>
        <w:rPr>
          <w:rStyle w:val="VerbatimChar"/>
        </w:rPr>
        <w:t xml:space="preserve">app/layout.tsx               # metadados, fontes (Inter + assinatura)</w:t>
      </w:r>
      <w:r>
        <w:br/>
      </w:r>
      <w:r>
        <w:rPr>
          <w:rStyle w:val="VerbatimChar"/>
        </w:rPr>
        <w:t xml:space="preserve">app/api/ifc/route.ts         # parse do IFC -&gt; orçamento (JSON)</w:t>
      </w:r>
      <w:r>
        <w:br/>
      </w:r>
      <w:r>
        <w:rPr>
          <w:rStyle w:val="VerbatimChar"/>
        </w:rPr>
        <w:t xml:space="preserve">app/api/ifc/export/route.ts  # gera a planilha .xlsx</w:t>
      </w:r>
      <w:r>
        <w:br/>
      </w:r>
      <w:r>
        <w:rPr>
          <w:rStyle w:val="VerbatimChar"/>
        </w:rPr>
        <w:t xml:space="preserve">lib/ifc.ts                   # parser STEP + extração de quantidades + unidades</w:t>
      </w:r>
      <w:r>
        <w:br/>
      </w:r>
      <w:r>
        <w:rPr>
          <w:rStyle w:val="VerbatimChar"/>
        </w:rPr>
        <w:t xml:space="preserve">lib/budget.ts                # tradução para itens de orçamento (PT-BR)</w:t>
      </w:r>
      <w:r>
        <w:br/>
      </w:r>
      <w:r>
        <w:rPr>
          <w:rStyle w:val="VerbatimChar"/>
        </w:rPr>
        <w:t xml:space="preserve">lib/sinapi.ts                # tabela de referência de custos SINAPI</w:t>
      </w:r>
      <w:r>
        <w:br/>
      </w:r>
      <w:r>
        <w:rPr>
          <w:rStyle w:val="VerbatimChar"/>
        </w:rPr>
        <w:t xml:space="preserve">lib/ifcXlsx.ts               # montagem da planilha (exceljs)</w:t>
      </w:r>
    </w:p>
    <w:bookmarkEnd w:id="12"/>
    <w:bookmarkStart w:id="13" w:name="sobre-os-preços-sinapi"/>
    <w:p>
      <w:pPr>
        <w:pStyle w:val="Heading2"/>
      </w:pPr>
      <w:r>
        <w:t xml:space="preserve">Sobre os preços SINAPI</w:t>
      </w:r>
    </w:p>
    <w:p>
      <w:pPr>
        <w:pStyle w:val="FirstParagraph"/>
      </w:pPr>
      <w:r>
        <w:t xml:space="preserve">Os valores em</w:t>
      </w:r>
      <w:r>
        <w:t xml:space="preserve"> </w:t>
      </w:r>
      <w:r>
        <w:rPr>
          <w:rStyle w:val="VerbatimChar"/>
        </w:rPr>
        <w:t xml:space="preserve">lib/sinapi.ts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referências aproximadas</w:t>
      </w:r>
      <w:r>
        <w:t xml:space="preserve"> </w:t>
      </w:r>
      <w:r>
        <w:t xml:space="preserve">(SP, não</w:t>
      </w:r>
      <w:r>
        <w:t xml:space="preserve"> </w:t>
      </w:r>
      <w:r>
        <w:t xml:space="preserve">desonerado) mapeando cada item do orçamento à composição SINAPI mais próxima,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unidade compatível</w:t>
      </w:r>
      <w:r>
        <w:t xml:space="preserve">. O SINAPI oficial é publicado mensalmente pela Caixa</w:t>
      </w:r>
      <w:r>
        <w:t xml:space="preserve"> </w:t>
      </w:r>
      <w:r>
        <w:t xml:space="preserve">por UF — ajuste os valores conforme o mês/estado do orçamento:</w:t>
      </w:r>
      <w:r>
        <w:t xml:space="preserve"> </w:t>
      </w:r>
      <w:r>
        <w:t xml:space="preserve">https://www.caixa.gov.br/site/Paginas/downloads.aspx</w:t>
      </w:r>
    </w:p>
    <w:bookmarkEnd w:id="13"/>
    <w:bookmarkStart w:id="14" w:name="limitações-próximos-passos"/>
    <w:p>
      <w:pPr>
        <w:pStyle w:val="Heading2"/>
      </w:pPr>
      <w:r>
        <w:t xml:space="preserve">Limitações / próximos passos</w:t>
      </w:r>
    </w:p>
    <w:p>
      <w:pPr>
        <w:pStyle w:val="Compact"/>
        <w:numPr>
          <w:ilvl w:val="0"/>
          <w:numId w:val="1003"/>
        </w:numPr>
      </w:pPr>
      <w:r>
        <w:t xml:space="preserve">Quantificação por elemento (não por ambiente), pois o IFC de teste não traz</w:t>
      </w:r>
      <w:r>
        <w:t xml:space="preserve"> </w:t>
      </w:r>
      <w:r>
        <w:rPr>
          <w:rStyle w:val="VerbatimChar"/>
        </w:rPr>
        <w:t xml:space="preserve">IfcSpace</w:t>
      </w:r>
      <w:r>
        <w:t xml:space="preserve">. Suporte a área de piso por cômodo pode ser adicionado quando o IFC</w:t>
      </w:r>
      <w:r>
        <w:t xml:space="preserve"> </w:t>
      </w:r>
      <w:r>
        <w:t xml:space="preserve">trouxer espaços.</w:t>
      </w:r>
    </w:p>
    <w:p>
      <w:pPr>
        <w:pStyle w:val="Compact"/>
        <w:numPr>
          <w:ilvl w:val="0"/>
          <w:numId w:val="1003"/>
        </w:numPr>
      </w:pPr>
      <w:r>
        <w:t xml:space="preserve">Classificação externa/interna de paredes por palavra-chave do nome.</w:t>
      </w:r>
    </w:p>
    <w:p>
      <w:pPr>
        <w:pStyle w:val="Compact"/>
        <w:numPr>
          <w:ilvl w:val="0"/>
          <w:numId w:val="1003"/>
        </w:numPr>
      </w:pPr>
      <w:r>
        <w:t xml:space="preserve">Cobertura usa a face inferior das lajes de telhado (forro), não a superfície</w:t>
      </w:r>
      <w:r>
        <w:t xml:space="preserve"> </w:t>
      </w:r>
      <w:r>
        <w:t xml:space="preserve">total da laje.</w:t>
      </w:r>
    </w:p>
    <w:p>
      <w:pPr>
        <w:pStyle w:val="Compact"/>
        <w:numPr>
          <w:ilvl w:val="0"/>
          <w:numId w:val="1003"/>
        </w:numPr>
      </w:pPr>
      <w:r>
        <w:t xml:space="preserve">A referência SINAPI é estática e regional (SP); evoluir para múltiplas UFs e</w:t>
      </w:r>
      <w:r>
        <w:t xml:space="preserve"> </w:t>
      </w:r>
      <w:r>
        <w:t xml:space="preserve">atualização por mês de referência.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2026-05-31T14:11:06Z</dcterms:created>
  <dcterms:modified xsi:type="dcterms:W3CDTF">2026-05-31T14:11:06Z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