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resumo-one-page-orçamento-preliminar-ifc"/>
    <w:p>
      <w:pPr>
        <w:pStyle w:val="Heading1"/>
      </w:pPr>
      <w:r>
        <w:t xml:space="preserve">Resumo One Page — Orçamento Preliminar IFC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Kevin Quintian ·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Next.js (TypeScript) · Tailwind · exceljs · web-ifc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Gerar um</w:t>
      </w:r>
      <w:r>
        <w:t xml:space="preserve"> </w:t>
      </w:r>
      <w:r>
        <w:rPr>
          <w:b/>
          <w:bCs/>
        </w:rPr>
        <w:t xml:space="preserve">orçamento preliminar de obra</w:t>
      </w:r>
      <w:r>
        <w:t xml:space="preserve"> </w:t>
      </w:r>
      <w:r>
        <w:t xml:space="preserve">automaticamente a partir de um modelo</w:t>
      </w:r>
      <w:r>
        <w:t xml:space="preserve"> </w:t>
      </w:r>
      <w:r>
        <w:rPr>
          <w:b/>
          <w:bCs/>
        </w:rPr>
        <w:t xml:space="preserve">BIM (arquivo IFC)</w:t>
      </w:r>
      <w:r>
        <w:t xml:space="preserve">, reduzindo o trabalho manual de levantamento de</w:t>
      </w:r>
      <w:r>
        <w:t xml:space="preserve"> </w:t>
      </w:r>
      <w:r>
        <w:t xml:space="preserve">quantitativos e precificação.</w:t>
      </w:r>
    </w:p>
    <w:bookmarkEnd w:id="9"/>
    <w:bookmarkStart w:id="10" w:name="processo-de-trabalho"/>
    <w:p>
      <w:pPr>
        <w:pStyle w:val="Heading2"/>
      </w:pPr>
      <w:r>
        <w:t xml:space="preserve">Processo de trabalho</w:t>
      </w:r>
    </w:p>
    <w:p>
      <w:pPr>
        <w:pStyle w:val="FirstParagraph"/>
      </w:pPr>
      <w:r>
        <w:rPr>
          <w:b/>
          <w:bCs/>
        </w:rPr>
        <w:t xml:space="preserve">1. Abordagem inicial — PDF (descartada).</w:t>
      </w:r>
      <w:r>
        <w:t xml:space="preserve"> </w:t>
      </w:r>
      <w:r>
        <w:t xml:space="preserve">O projeto começou extraindo</w:t>
      </w:r>
      <w:r>
        <w:t xml:space="preserve"> </w:t>
      </w:r>
      <w:r>
        <w:t xml:space="preserve">quantitativos de</w:t>
      </w:r>
      <w:r>
        <w:t xml:space="preserve"> </w:t>
      </w:r>
      <w:r>
        <w:rPr>
          <w:b/>
          <w:bCs/>
        </w:rPr>
        <w:t xml:space="preserve">plantas em PDF</w:t>
      </w:r>
      <w:r>
        <w:t xml:space="preserve">: seleção de páginas, calibração de escala por</w:t>
      </w:r>
      <w:r>
        <w:t xml:space="preserve"> </w:t>
      </w:r>
      <w:r>
        <w:t xml:space="preserve">linha, medição de áreas por recinto (flood-fill) e detecção de paredes por estilo.</w:t>
      </w:r>
      <w:r>
        <w:t xml:space="preserve"> </w:t>
      </w:r>
      <w:r>
        <w:t xml:space="preserve">Funcional, porém</w:t>
      </w:r>
      <w:r>
        <w:t xml:space="preserve"> </w:t>
      </w:r>
      <w:r>
        <w:rPr>
          <w:b/>
          <w:bCs/>
        </w:rPr>
        <w:t xml:space="preserve">frágil e trabalhoso</w:t>
      </w:r>
      <w:r>
        <w:t xml:space="preserve"> </w:t>
      </w:r>
      <w:r>
        <w:t xml:space="preserve">— dependia de calibração manual e da</w:t>
      </w:r>
      <w:r>
        <w:t xml:space="preserve"> </w:t>
      </w:r>
      <w:r>
        <w:t xml:space="preserve">qualidade do desenho.</w:t>
      </w:r>
    </w:p>
    <w:p>
      <w:pPr>
        <w:pStyle w:val="BodyText"/>
      </w:pPr>
      <w:r>
        <w:rPr>
          <w:b/>
          <w:bCs/>
        </w:rPr>
        <w:t xml:space="preserve">2. Pivot para IFC.</w:t>
      </w:r>
      <w:r>
        <w:t xml:space="preserve"> </w:t>
      </w:r>
      <w:r>
        <w:t xml:space="preserve">Migração para ler o</w:t>
      </w:r>
      <w:r>
        <w:t xml:space="preserve"> </w:t>
      </w:r>
      <w:r>
        <w:rPr>
          <w:b/>
          <w:bCs/>
        </w:rPr>
        <w:t xml:space="preserve">IFC (ISO-10303-21/STEP)</w:t>
      </w:r>
      <w:r>
        <w:t xml:space="preserve">, que já é</w:t>
      </w:r>
      <w:r>
        <w:t xml:space="preserve"> </w:t>
      </w:r>
      <w:r>
        <w:t xml:space="preserve">estruturado e traz as quantidades calculadas (</w:t>
      </w:r>
      <w:r>
        <w:rPr>
          <w:rStyle w:val="VerbatimChar"/>
        </w:rPr>
        <w:t xml:space="preserve">BaseQuantities</w:t>
      </w:r>
      <w:r>
        <w:t xml:space="preserve">). Foi escrito um</w:t>
      </w:r>
      <w:r>
        <w:t xml:space="preserve"> </w:t>
      </w:r>
      <w:r>
        <w:rPr>
          <w:b/>
          <w:bCs/>
        </w:rPr>
        <w:t xml:space="preserve">parser próprio, leve, sem WASM</w:t>
      </w:r>
      <w:r>
        <w:t xml:space="preserve">, com normalização de unidades (mm→m, etc.) e</w:t>
      </w:r>
      <w:r>
        <w:t xml:space="preserve"> </w:t>
      </w:r>
      <w:r>
        <w:t xml:space="preserve">deduplicação de quantidades repetidas pelo exportador. Resultado: takeoff muito</w:t>
      </w:r>
      <w:r>
        <w:t xml:space="preserve"> </w:t>
      </w:r>
      <w:r>
        <w:t xml:space="preserve">mais confiável.</w:t>
      </w:r>
    </w:p>
    <w:p>
      <w:pPr>
        <w:pStyle w:val="BodyText"/>
      </w:pPr>
      <w:r>
        <w:rPr>
          <w:b/>
          <w:bCs/>
        </w:rPr>
        <w:t xml:space="preserve">3. Tradução para orçamento.</w:t>
      </w:r>
      <w:r>
        <w:t xml:space="preserve"> </w:t>
      </w:r>
      <w:r>
        <w:t xml:space="preserve">Camada</w:t>
      </w:r>
      <w:r>
        <w:t xml:space="preserve"> </w:t>
      </w:r>
      <w:r>
        <w:t xml:space="preserve">“orçamentista”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lib/budget.ts</w:t>
      </w:r>
      <w:r>
        <w:t xml:space="preserve">) que</w:t>
      </w:r>
      <w:r>
        <w:t xml:space="preserve"> </w:t>
      </w:r>
      <w:r>
        <w:t xml:space="preserve">converte elementos IFC em</w:t>
      </w:r>
      <w:r>
        <w:t xml:space="preserve"> </w:t>
      </w:r>
      <w:r>
        <w:rPr>
          <w:b/>
          <w:bCs/>
        </w:rPr>
        <w:t xml:space="preserve">itens de serviço agrupados por etapa</w:t>
      </w:r>
      <w:r>
        <w:t xml:space="preserve"> </w:t>
      </w:r>
      <w:r>
        <w:t xml:space="preserve">(fundações,</w:t>
      </w:r>
      <w:r>
        <w:t xml:space="preserve"> </w:t>
      </w:r>
      <w:r>
        <w:t xml:space="preserve">superestrutura, alvenaria, cobertura, esquadrias, revestimentos, pisos, pintura),</w:t>
      </w:r>
      <w:r>
        <w:t xml:space="preserve"> </w:t>
      </w:r>
      <w:r>
        <w:t xml:space="preserve">com unidade e quantidade. Inclui um</w:t>
      </w:r>
      <w:r>
        <w:t xml:space="preserve"> </w:t>
      </w:r>
      <w:r>
        <w:rPr>
          <w:b/>
          <w:bCs/>
        </w:rPr>
        <w:t xml:space="preserve">visualizador 3D</w:t>
      </w:r>
      <w:r>
        <w:t xml:space="preserve"> </w:t>
      </w:r>
      <w:r>
        <w:t xml:space="preserve">que destaca os objetos</w:t>
      </w:r>
      <w:r>
        <w:t xml:space="preserve"> </w:t>
      </w:r>
      <w:r>
        <w:t xml:space="preserve">paramétricos de cada item.</w:t>
      </w:r>
    </w:p>
    <w:p>
      <w:pPr>
        <w:pStyle w:val="BodyText"/>
      </w:pPr>
      <w:r>
        <w:rPr>
          <w:b/>
          <w:bCs/>
        </w:rPr>
        <w:t xml:space="preserve">4. Refinamentos de engenharia (validados com modelo de teste BasicHouse).</w:t>
      </w:r>
      <w:r>
        <w:t xml:space="preserve"> </w:t>
      </w:r>
      <w:r>
        <w:t xml:space="preserve">- Correção de dupla normalização de comprimento (locação 62,04 m).</w:t>
      </w:r>
      <w:r>
        <w:t xml:space="preserve"> </w:t>
      </w:r>
      <w:r>
        <w:t xml:space="preserve">- Cobertura: usa as lajes de telhado e, depois, a</w:t>
      </w:r>
      <w:r>
        <w:t xml:space="preserve"> </w:t>
      </w:r>
      <w:r>
        <w:rPr>
          <w:b/>
          <w:bCs/>
        </w:rPr>
        <w:t xml:space="preserve">face inferior</w:t>
      </w:r>
      <w:r>
        <w:t xml:space="preserve"> </w:t>
      </w:r>
      <w:r>
        <w:t xml:space="preserve">(forro) — não</w:t>
      </w:r>
      <w:r>
        <w:t xml:space="preserve"> </w:t>
      </w:r>
      <w:r>
        <w:t xml:space="preserve">a superfície total da laje (corrigiu valor dobrado).</w:t>
      </w:r>
      <w:r>
        <w:t xml:space="preserve"> </w:t>
      </w:r>
      <w:r>
        <w:t xml:space="preserve">- Pintura de teto condicionada à existência de laje de teto.</w:t>
      </w:r>
    </w:p>
    <w:p>
      <w:pPr>
        <w:pStyle w:val="BodyText"/>
      </w:pPr>
      <w:r>
        <w:rPr>
          <w:b/>
          <w:bCs/>
        </w:rPr>
        <w:t xml:space="preserve">5. Precificação SINAPI.</w:t>
      </w:r>
      <w:r>
        <w:t xml:space="preserve"> </w:t>
      </w:r>
      <w:r>
        <w:t xml:space="preserve">Adição da</w:t>
      </w:r>
      <w:r>
        <w:t xml:space="preserve"> </w:t>
      </w:r>
      <w:r>
        <w:rPr>
          <w:b/>
          <w:bCs/>
        </w:rPr>
        <w:t xml:space="preserve">Fonte de Custos</w:t>
      </w:r>
      <w:r>
        <w:t xml:space="preserve">: por padrão preços de</w:t>
      </w:r>
      <w:r>
        <w:t xml:space="preserve"> </w:t>
      </w:r>
      <w:r>
        <w:t xml:space="preserve">referência</w:t>
      </w:r>
      <w:r>
        <w:t xml:space="preserve"> </w:t>
      </w:r>
      <w:r>
        <w:rPr>
          <w:b/>
          <w:bCs/>
        </w:rPr>
        <w:t xml:space="preserve">SINAPI (SP, não desonerado)</w:t>
      </w:r>
      <w:r>
        <w:t xml:space="preserve"> </w:t>
      </w:r>
      <w:r>
        <w:t xml:space="preserve">alimentam a coluna de preço unitário,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unidade compatível</w:t>
      </w:r>
      <w:r>
        <w:t xml:space="preserve"> </w:t>
      </w:r>
      <w:r>
        <w:t xml:space="preserve">ao serviço e exibição do código/descrição da</w:t>
      </w:r>
      <w:r>
        <w:t xml:space="preserve"> </w:t>
      </w:r>
      <w:r>
        <w:t xml:space="preserve">composição. O usuário pode sobrescrever um preço e voltar à referência com um</w:t>
      </w:r>
      <w:r>
        <w:t xml:space="preserve"> </w:t>
      </w:r>
      <w:r>
        <w:t xml:space="preserve">clique, ou escolher inserir todos os preços manualmente.</w:t>
      </w:r>
    </w:p>
    <w:p>
      <w:pPr>
        <w:pStyle w:val="BodyText"/>
      </w:pPr>
      <w:r>
        <w:rPr>
          <w:b/>
          <w:bCs/>
        </w:rPr>
        <w:t xml:space="preserve">6. Acabamento.</w:t>
      </w:r>
      <w:r>
        <w:t xml:space="preserve"> </w:t>
      </w:r>
      <w:r>
        <w:t xml:space="preserve">Revisão de design (tipografia Inter, tabela com bordas,</w:t>
      </w:r>
      <w:r>
        <w:t xml:space="preserve"> </w:t>
      </w:r>
      <w:r>
        <w:t xml:space="preserve">identidade visual), exportação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(abas Orçamento e Detalhe) e versionamento</w:t>
      </w:r>
      <w:r>
        <w:t xml:space="preserve"> </w:t>
      </w:r>
      <w:r>
        <w:t xml:space="preserve">no GitHub.</w:t>
      </w:r>
    </w:p>
    <w:bookmarkEnd w:id="10"/>
    <w:bookmarkStart w:id="11" w:name="decisões-chave"/>
    <w:p>
      <w:pPr>
        <w:pStyle w:val="Heading2"/>
      </w:pPr>
      <w:r>
        <w:t xml:space="preserve">Decisões-chave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IFC &gt; PDF:</w:t>
      </w:r>
      <w:r>
        <w:t xml:space="preserve"> </w:t>
      </w:r>
      <w:r>
        <w:t xml:space="preserve">dado estruturado elimina calibração manual e erro de medição.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Parser próprio sem WASM:</w:t>
      </w:r>
      <w:r>
        <w:t xml:space="preserve"> </w:t>
      </w:r>
      <w:r>
        <w:t xml:space="preserve">simples, rápido e sem dependências pesadas.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SINAPI como referência editável:</w:t>
      </w:r>
      <w:r>
        <w:t xml:space="preserve"> </w:t>
      </w:r>
      <w:r>
        <w:t xml:space="preserve">equilibra automação com a flexibilidade</w:t>
      </w:r>
      <w:r>
        <w:t xml:space="preserve"> </w:t>
      </w:r>
      <w:r>
        <w:t xml:space="preserve">que o orçamentista precisa.</w:t>
      </w:r>
    </w:p>
    <w:bookmarkEnd w:id="11"/>
    <w:bookmarkStart w:id="12" w:name="validação"/>
    <w:p>
      <w:pPr>
        <w:pStyle w:val="Heading2"/>
      </w:pPr>
      <w:r>
        <w:t xml:space="preserve">Validação</w:t>
      </w:r>
    </w:p>
    <w:p>
      <w:pPr>
        <w:pStyle w:val="FirstParagraph"/>
      </w:pPr>
      <w:r>
        <w:t xml:space="preserve">Testado com o modelo</w:t>
      </w:r>
      <w:r>
        <w:t xml:space="preserve"> </w:t>
      </w:r>
      <w:r>
        <w:rPr>
          <w:b/>
          <w:bCs/>
        </w:rPr>
        <w:t xml:space="preserve">BasicHouse.ifc</w:t>
      </w:r>
      <w:r>
        <w:t xml:space="preserve"> </w:t>
      </w:r>
      <w:r>
        <w:t xml:space="preserve">(IFC2X3 do Revit); quantidades e preços</w:t>
      </w:r>
      <w:r>
        <w:t xml:space="preserve"> </w:t>
      </w:r>
      <w:r>
        <w:t xml:space="preserve">conferidos item a item, com compatibilidade de unidades entre app e SINAPI.</w:t>
      </w:r>
    </w:p>
    <w:bookmarkEnd w:id="12"/>
    <w:bookmarkStart w:id="13" w:name="limitações-próximos-passos"/>
    <w:p>
      <w:pPr>
        <w:pStyle w:val="Heading2"/>
      </w:pPr>
      <w:r>
        <w:t xml:space="preserve">Limitações / próximos passos</w:t>
      </w:r>
    </w:p>
    <w:p>
      <w:pPr>
        <w:pStyle w:val="FirstParagraph"/>
      </w:pPr>
      <w:r>
        <w:t xml:space="preserve">Quantificação por elemento (sem</w:t>
      </w:r>
      <w:r>
        <w:t xml:space="preserve"> </w:t>
      </w:r>
      <w:r>
        <w:rPr>
          <w:rStyle w:val="VerbatimChar"/>
        </w:rPr>
        <w:t xml:space="preserve">IfcSpace</w:t>
      </w:r>
      <w:r>
        <w:t xml:space="preserve">); classificação de paredes por nome;</w:t>
      </w:r>
      <w:r>
        <w:t xml:space="preserve"> </w:t>
      </w:r>
      <w:r>
        <w:t xml:space="preserve">referência SINAPI estática para SP — evoluir para múltiplas UFs e mês de</w:t>
      </w:r>
      <w:r>
        <w:t xml:space="preserve"> </w:t>
      </w:r>
      <w:r>
        <w:t xml:space="preserve">referência.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2026-05-31T14:11:06Z</dcterms:created>
  <dcterms:modified xsi:type="dcterms:W3CDTF">2026-05-31T14:11:06Z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