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A4232" w14:textId="77777777" w:rsidR="00D306A0" w:rsidRPr="00D306A0" w:rsidRDefault="00D306A0" w:rsidP="00D306A0">
      <w:r w:rsidRPr="00D306A0">
        <w:rPr>
          <w:b/>
          <w:bCs/>
        </w:rPr>
        <w:t>Deliverables Checklist Replacement / Upgrade of Escalators in a Hospital Aligned to RIBA Plan of Work 2020 &amp; relevant Standards</w:t>
      </w:r>
      <w:r w:rsidRPr="00D306A0"/>
      <w:r w:rsidRPr="00D306A0">
        <w:rPr>
          <w:b/>
          <w:bCs/>
        </w:rPr>
      </w:r>
      <w:r w:rsidRPr="00D306A0"/>
      <w:r w:rsidRPr="00D306A0">
        <w:rPr>
          <w:b/>
          <w:bCs/>
        </w:rPr>
      </w:r>
    </w:p>
    <w:p w14:paraId="5C0A4710" w14:textId="77777777" w:rsidR="00D306A0" w:rsidRPr="00D306A0" w:rsidRDefault="00D306A0" w:rsidP="00D306A0">
      <w:r w:rsidRPr="00D306A0">
        <w:t>This checklist follows the exact same format as the other Hard FM system checklists. It is intended for projects involving the installation, replacement or major upgrade of escalators and moving walks in hospital premises. Escalators are a distinct system from passenger, bed and firefighting/escape lifts - see Lift &amp; Vertical Transportation Replacement for those. This is a lower-volume, site-conditional checklist: only relevant where a site actually has, or is adding, escalators or moving walks.</w:t>
      </w:r>
      <w:r w:rsidRPr="00D306A0">
        <w:rPr>
          <w:b/>
          <w:bCs/>
        </w:rPr>
      </w:r>
      <w:r w:rsidRPr="00D306A0"/>
    </w:p>
    <w:p w14:paraId="11552062" w14:textId="77777777" w:rsidR="00D306A0" w:rsidRPr="00D306A0" w:rsidRDefault="00D306A0" w:rsidP="00D306A0">
      <w:pPr>
        <w:rPr>
          <w:b/>
          <w:bCs/>
        </w:rPr>
      </w:pPr>
      <w:r w:rsidRPr="00D306A0">
        <w:rPr>
          <w:b/>
          <w:bCs/>
        </w:rPr>
        <w:t>Primary Guidance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6937"/>
      </w:tblGrid>
      <w:tr w:rsidR="00D306A0" w:rsidRPr="00D306A0" w14:paraId="7540C3A9" w14:textId="77777777" w:rsidTr="00D306A0">
        <w:trPr>
          <w:tblHeader/>
          <w:tblCellSpacing w:w="15" w:type="dxa"/>
        </w:trPr>
        <w:tc>
          <w:tcPr>
            <w:tcW w:w="0" w:type="auto"/>
            <w:vAlign w:val="center"/>
            <w:hideMark/>
          </w:tcPr>
          <w:p w14:paraId="09C814D7" w14:textId="77777777" w:rsidR="00D306A0" w:rsidRPr="00D306A0" w:rsidRDefault="00D306A0" w:rsidP="00D306A0">
            <w:pPr>
              <w:rPr>
                <w:b/>
                <w:bCs/>
              </w:rPr>
            </w:pPr>
            <w:r w:rsidRPr="00D306A0">
              <w:rPr>
                <w:b/>
                <w:bCs/>
              </w:rPr>
              <w:t>System Element</w:t>
            </w:r>
          </w:p>
        </w:tc>
        <w:tc>
          <w:tcPr>
            <w:tcW w:w="0" w:type="auto"/>
            <w:vAlign w:val="center"/>
            <w:hideMark/>
          </w:tcPr>
          <w:p w14:paraId="5BD42949" w14:textId="77777777" w:rsidR="00D306A0" w:rsidRPr="00D306A0" w:rsidRDefault="00D306A0" w:rsidP="00D306A0">
            <w:pPr>
              <w:rPr>
                <w:b/>
                <w:bCs/>
              </w:rPr>
            </w:pPr>
            <w:r w:rsidRPr="00D306A0">
              <w:rPr>
                <w:b/>
                <w:bCs/>
              </w:rPr>
              <w:t>Key Guidance</w:t>
            </w:r>
          </w:p>
        </w:tc>
      </w:tr>
      <w:tr w:rsidR="00D306A0" w:rsidRPr="00D306A0" w14:paraId="00104F39" w14:textId="77777777" w:rsidTr="00D306A0">
        <w:trPr>
          <w:tblCellSpacing w:w="15" w:type="dxa"/>
        </w:trPr>
        <w:tc>
          <w:tcPr>
            <w:tcW w:w="0" w:type="auto"/>
            <w:vAlign w:val="center"/>
            <w:hideMark/>
          </w:tcPr>
          <w:p w14:paraId="509F2B0C" w14:textId="77777777" w:rsidR="00D306A0" w:rsidRPr="00D306A0" w:rsidRDefault="00D306A0" w:rsidP="00D306A0">
            <w:r w:rsidRPr="00D306A0">
              <w:rPr>
                <w:b/>
                <w:bCs/>
              </w:rPr>
              <w:t>Design &amp; construction</w:t>
            </w:r>
          </w:p>
        </w:tc>
        <w:tc>
          <w:tcPr>
            <w:tcW w:w="0" w:type="auto"/>
            <w:vAlign w:val="center"/>
            <w:hideMark/>
          </w:tcPr>
          <w:p w14:paraId="0543408F" w14:textId="77777777" w:rsidR="00D306A0" w:rsidRPr="00D306A0" w:rsidRDefault="00D306A0" w:rsidP="00D306A0">
            <w:r w:rsidRPr="00D306A0">
              <w:t>BS EN 115-1:2017 (Safety of escalators and moving walks - Construction and installation, superseding BS EN 115-1:2008+A1:2010) sets the design and construction safety requirements for new escalators and moving walks.</w:t>
            </w:r>
          </w:p>
        </w:tc>
      </w:tr>
      <w:tr w:rsidR="00D306A0" w:rsidRPr="00D306A0" w14:paraId="00104F39" w14:textId="77777777" w:rsidTr="00D306A0">
        <w:trPr>
          <w:tblCellSpacing w:w="15" w:type="dxa"/>
        </w:trPr>
        <w:tc>
          <w:tcPr>
            <w:tcW w:w="0" w:type="auto"/>
            <w:vAlign w:val="center"/>
            <w:hideMark/>
          </w:tcPr>
          <w:p w14:paraId="509F2B0C" w14:textId="77777777" w:rsidR="00D306A0" w:rsidRPr="00D306A0" w:rsidRDefault="00D306A0" w:rsidP="00D306A0">
            <w:r w:rsidRPr="00D306A0">
              <w:rPr>
                <w:b/>
                <w:bCs/>
              </w:rPr>
              <w:t>Existing installations</w:t>
            </w:r>
          </w:p>
        </w:tc>
        <w:tc>
          <w:tcPr>
            <w:tcW w:w="0" w:type="auto"/>
            <w:vAlign w:val="center"/>
            <w:hideMark/>
          </w:tcPr>
          <w:p w14:paraId="0543408F" w14:textId="77777777" w:rsidR="00D306A0" w:rsidRPr="00D306A0" w:rsidRDefault="00D306A0" w:rsidP="00D306A0">
            <w:r w:rsidRPr="00D306A0">
              <w:t>BS EN 115-2 sets rules for the improvement of safety of existing escalators and moving walks, relevant to major upgrade rather than new-installation projects.</w:t>
            </w:r>
          </w:p>
        </w:tc>
      </w:tr>
      <w:tr w:rsidR="00D306A0" w:rsidRPr="00D306A0" w14:paraId="00104F39" w14:textId="77777777" w:rsidTr="00D306A0">
        <w:trPr>
          <w:tblCellSpacing w:w="15" w:type="dxa"/>
        </w:trPr>
        <w:tc>
          <w:tcPr>
            <w:tcW w:w="0" w:type="auto"/>
            <w:vAlign w:val="center"/>
            <w:hideMark/>
          </w:tcPr>
          <w:p w14:paraId="509F2B0C" w14:textId="77777777" w:rsidR="00D306A0" w:rsidRPr="00D306A0" w:rsidRDefault="00D306A0" w:rsidP="00D306A0">
            <w:r w:rsidRPr="00D306A0">
              <w:rPr>
                <w:b/>
                <w:bCs/>
              </w:rPr>
              <w:t>Statutory inspection regime</w:t>
            </w:r>
          </w:p>
        </w:tc>
        <w:tc>
          <w:tcPr>
            <w:tcW w:w="0" w:type="auto"/>
            <w:vAlign w:val="center"/>
            <w:hideMark/>
          </w:tcPr>
          <w:p w14:paraId="0543408F" w14:textId="77777777" w:rsidR="00D306A0" w:rsidRPr="00D306A0" w:rsidRDefault="00D306A0" w:rsidP="00D306A0">
            <w:r w:rsidRPr="00D306A0">
              <w:t>LOLER 1998 does NOT apply to escalators or moving walks - HSE guidance confirms this exclusion applies because their principal function is to transport people, not to lift loads. PUWER 1998 applies instead, alongside regulation 19 of the Workplace (Health, Safety and Welfare) Regulations 1992, for maintenance and inspection duties.</w:t>
            </w:r>
          </w:p>
        </w:tc>
      </w:tr>
      <w:tr w:rsidR="00D306A0" w:rsidRPr="00D306A0" w14:paraId="00104F39" w14:textId="77777777" w:rsidTr="00D306A0">
        <w:trPr>
          <w:tblCellSpacing w:w="15" w:type="dxa"/>
        </w:trPr>
        <w:tc>
          <w:tcPr>
            <w:tcW w:w="0" w:type="auto"/>
            <w:vAlign w:val="center"/>
            <w:hideMark/>
          </w:tcPr>
          <w:p w14:paraId="509F2B0C" w14:textId="77777777" w:rsidR="00D306A0" w:rsidRPr="00D306A0" w:rsidRDefault="00D306A0" w:rsidP="00D306A0">
            <w:r w:rsidRPr="00D306A0">
              <w:rPr>
                <w:b/>
                <w:bCs/>
              </w:rPr>
              <w:t>Site relevance</w:t>
            </w:r>
          </w:p>
        </w:tc>
        <w:tc>
          <w:tcPr>
            <w:tcW w:w="0" w:type="auto"/>
            <w:vAlign w:val="center"/>
            <w:hideMark/>
          </w:tcPr>
          <w:p w14:paraId="0543408F" w14:textId="77777777" w:rsidR="00D306A0" w:rsidRPr="00D306A0" w:rsidRDefault="00D306A0" w:rsidP="00D306A0">
            <w:r w:rsidRPr="00D306A0">
              <w:t>Confirm at Stage 0 whether the site actually has, or is proposing to add, escalators - this checklist should not be applied by default to every capital project the way Electrical Services or Fire Alarm checklists are.</w:t>
            </w:r>
          </w:p>
        </w:tc>
      </w:tr>
    </w:tbl>
    <w:p w14:paraId="2C25E8FC" w14:textId="77777777" w:rsidR="00D306A0" w:rsidRPr="00D306A0" w:rsidRDefault="00D306A0" w:rsidP="00D306A0">
      <w:r w:rsidRPr="00D306A0">
        <w:rPr>
          <w:b/>
          <w:bCs/>
        </w:rPr>
        <w:t>Key Principles</w:t>
      </w:r>
    </w:p>
    <w:p w14:paraId="4567CD1C" w14:textId="77777777" w:rsidR="00D306A0" w:rsidRPr="00D306A0" w:rsidRDefault="00D306A0" w:rsidP="00D306A0">
      <w:pPr>
        <w:numPr>
          <w:ilvl w:val="0"/>
          <w:numId w:val="1"/>
        </w:numPr>
      </w:pPr>
      <w:r w:rsidRPr="00D306A0">
        <w:t>This checklist only applies where a site genuinely has, or is adding, escalators or moving walks - confirm site relevance at Stage 0 rather than defaulting it into every capital-project scope.</w:t>
      </w:r>
    </w:p>
    <w:p w14:paraId="4567CD1C" w14:textId="77777777" w:rsidR="00D306A0" w:rsidRPr="00D306A0" w:rsidRDefault="00D306A0" w:rsidP="00D306A0">
      <w:pPr>
        <w:numPr>
          <w:ilvl w:val="0"/>
          <w:numId w:val="1"/>
        </w:numPr>
      </w:pPr>
      <w:r w:rsidRPr="00D306A0">
        <w:t>LOLER 1998 does not apply to escalators (confirmed via HSE guidance: their principal function is to transport, not lift) - do not apply a LOLER thorough-examination regime by analogy with lifts; PUWER 1998 governs maintenance and inspection instead.</w:t>
      </w:r>
    </w:p>
    <w:p w14:paraId="4567CD1C" w14:textId="77777777" w:rsidR="00D306A0" w:rsidRPr="00D306A0" w:rsidRDefault="00D306A0" w:rsidP="00D306A0">
      <w:pPr>
        <w:numPr>
          <w:ilvl w:val="0"/>
          <w:numId w:val="1"/>
        </w:numPr>
      </w:pPr>
      <w:r w:rsidRPr="00D306A0">
        <w:t>A major upgrade of an existing escalator should be assessed against BS EN 115-2 (improvement of safety of existing installations), not solely BS EN 115-1, which is written for new construction.</w:t>
      </w:r>
    </w:p>
    <w:p w14:paraId="4567CD1C" w14:textId="77777777" w:rsidR="00D306A0" w:rsidRPr="00D306A0" w:rsidRDefault="00D306A0" w:rsidP="00D306A0">
      <w:pPr>
        <w:numPr>
          <w:ilvl w:val="0"/>
          <w:numId w:val="1"/>
        </w:numPr>
      </w:pPr>
      <w:r w:rsidRPr="00D306A0">
        <w:t>Continuity of horizontal/vertical circulation for patients, staff and visitors must be planned for the works duration - an escalator taken out of service in a high-footfall area is a real operational impact, not a minor inconvenience.</w:t>
      </w:r>
    </w:p>
    <w:p w14:paraId="55DD57F8" w14:textId="77777777" w:rsidR="00D306A0" w:rsidRPr="00D306A0" w:rsidRDefault="00D306A0" w:rsidP="00D306A0">
      <w:pPr>
        <w:rPr>
          <w:b/>
          <w:bCs/>
        </w:rPr>
      </w:pPr>
      <w:r w:rsidRPr="00D306A0">
        <w:rPr>
          <w:b/>
          <w:bCs/>
        </w:rPr>
        <w:t>Stage 0 – Strategic Definition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36"/>
        <w:gridCol w:w="1498"/>
        <w:gridCol w:w="1382"/>
      </w:tblGrid>
      <w:tr w:rsidR="00D306A0" w:rsidRPr="00D306A0" w14:paraId="505E53FB" w14:textId="77777777" w:rsidTr="00D306A0">
        <w:trPr>
          <w:tblHeader/>
          <w:tblCellSpacing w:w="15" w:type="dxa"/>
        </w:trPr>
        <w:tc>
          <w:tcPr>
            <w:tcW w:w="0" w:type="auto"/>
            <w:vAlign w:val="center"/>
            <w:hideMark/>
          </w:tcPr>
          <w:p w14:paraId="2784ACDF" w14:textId="77777777" w:rsidR="00D306A0" w:rsidRPr="00D306A0" w:rsidRDefault="00D306A0" w:rsidP="00D306A0">
            <w:pPr>
              <w:rPr>
                <w:b/>
                <w:bCs/>
              </w:rPr>
            </w:pPr>
            <w:r w:rsidRPr="00D306A0">
              <w:rPr>
                <w:b/>
                <w:bCs/>
              </w:rPr>
              <w:lastRenderedPageBreak/>
              <w:t>Deliverable</w:t>
            </w:r>
          </w:p>
        </w:tc>
        <w:tc>
          <w:tcPr>
            <w:tcW w:w="0" w:type="auto"/>
            <w:vAlign w:val="center"/>
            <w:hideMark/>
          </w:tcPr>
          <w:p w14:paraId="27E8B071" w14:textId="77777777" w:rsidR="00D306A0" w:rsidRPr="00D306A0" w:rsidRDefault="00D306A0" w:rsidP="00D306A0">
            <w:pPr>
              <w:rPr>
                <w:b/>
                <w:bCs/>
              </w:rPr>
            </w:pPr>
            <w:r w:rsidRPr="00D306A0">
              <w:rPr>
                <w:b/>
                <w:bCs/>
              </w:rPr>
              <w:t>Status / Evidence</w:t>
            </w:r>
          </w:p>
        </w:tc>
        <w:tc>
          <w:tcPr>
            <w:tcW w:w="0" w:type="auto"/>
            <w:vAlign w:val="center"/>
            <w:hideMark/>
          </w:tcPr>
          <w:p w14:paraId="24C5B931" w14:textId="77777777" w:rsidR="00D306A0" w:rsidRPr="00D306A0" w:rsidRDefault="00D306A0" w:rsidP="00D306A0">
            <w:pPr>
              <w:rPr>
                <w:b/>
                <w:bCs/>
              </w:rPr>
            </w:pPr>
            <w:r w:rsidRPr="00D306A0">
              <w:rPr>
                <w:b/>
                <w:bCs/>
              </w:rPr>
              <w:t>Relevant Notes</w:t>
            </w:r>
          </w:p>
        </w:tc>
      </w:tr>
      <w:tr w:rsidR="00D306A0" w:rsidRPr="00D306A0" w14:paraId="4CC09BB5" w14:textId="77777777" w:rsidTr="00D306A0">
        <w:trPr>
          <w:tblCellSpacing w:w="15" w:type="dxa"/>
        </w:trPr>
        <w:tc>
          <w:tcPr>
            <w:tcW w:w="0" w:type="auto"/>
            <w:vAlign w:val="center"/>
            <w:hideMark/>
          </w:tcPr>
          <w:p w14:paraId="4DC8B374" w14:textId="77777777" w:rsidR="00D306A0" w:rsidRPr="00D306A0" w:rsidRDefault="00D306A0" w:rsidP="00D306A0">
            <w:r w:rsidRPr="00D306A0">
              <w:t>Business case / need identification (escalator age, reliability, capacity, footfall analysis)</w:t>
            </w:r>
          </w:p>
        </w:tc>
        <w:tc>
          <w:tcPr>
            <w:tcW w:w="0" w:type="auto"/>
            <w:vAlign w:val="center"/>
            <w:hideMark/>
          </w:tcPr>
          <w:p w14:paraId="279938DE" w14:textId="77777777" w:rsidR="00D306A0" w:rsidRPr="00D306A0" w:rsidRDefault="00D306A0" w:rsidP="00D306A0">
            <w:r/>
          </w:p>
        </w:tc>
        <w:tc>
          <w:tcPr>
            <w:tcW w:w="0" w:type="auto"/>
            <w:vAlign w:val="center"/>
            <w:hideMark/>
          </w:tcPr>
          <w:p w14:paraId="3C275A51" w14:textId="77777777" w:rsidR="00D306A0" w:rsidRPr="00D306A0" w:rsidRDefault="00D306A0" w:rsidP="00D306A0">
            <w:r w:rsidRPr="00D306A0">
              <w:t>BS EN 115-1:2017</w:t>
            </w:r>
          </w:p>
        </w:tc>
      </w:tr>
      <w:tr w:rsidR="00D306A0" w:rsidRPr="00D306A0" w14:paraId="4CC09BB5" w14:textId="77777777" w:rsidTr="00D306A0">
        <w:trPr>
          <w:tblCellSpacing w:w="15" w:type="dxa"/>
        </w:trPr>
        <w:tc>
          <w:tcPr>
            <w:tcW w:w="0" w:type="auto"/>
            <w:vAlign w:val="center"/>
            <w:hideMark/>
          </w:tcPr>
          <w:p w14:paraId="4DC8B374" w14:textId="77777777" w:rsidR="00D306A0" w:rsidRPr="00D306A0" w:rsidRDefault="00D306A0" w:rsidP="00D306A0">
            <w:r w:rsidRPr="00D306A0">
              <w:t>Confirmation that the site has, or requires, escalator provision (site-relevance check)</w:t>
            </w:r>
          </w:p>
        </w:tc>
        <w:tc>
          <w:tcPr>
            <w:tcW w:w="0" w:type="auto"/>
            <w:vAlign w:val="center"/>
            <w:hideMark/>
          </w:tcPr>
          <w:p w14:paraId="279938DE" w14:textId="77777777" w:rsidR="00D306A0" w:rsidRPr="00D306A0" w:rsidRDefault="00D306A0" w:rsidP="00D306A0">
            <w:r/>
          </w:p>
        </w:tc>
        <w:tc>
          <w:tcPr>
            <w:tcW w:w="0" w:type="auto"/>
            <w:vAlign w:val="center"/>
            <w:hideMark/>
          </w:tcPr>
          <w:p w14:paraId="3C275A51" w14:textId="77777777" w:rsidR="00D306A0" w:rsidRPr="00D306A0" w:rsidRDefault="00D306A0" w:rsidP="00D306A0">
            <w:r w:rsidRPr="00D306A0"/>
          </w:p>
        </w:tc>
      </w:tr>
      <w:tr w:rsidR="00D306A0" w:rsidRPr="00D306A0" w14:paraId="4CC09BB5" w14:textId="77777777" w:rsidTr="00D306A0">
        <w:trPr>
          <w:tblCellSpacing w:w="15" w:type="dxa"/>
        </w:trPr>
        <w:tc>
          <w:tcPr>
            <w:tcW w:w="0" w:type="auto"/>
            <w:vAlign w:val="center"/>
            <w:hideMark/>
          </w:tcPr>
          <w:p w14:paraId="4DC8B374" w14:textId="77777777" w:rsidR="00D306A0" w:rsidRPr="00D306A0" w:rsidRDefault="00D306A0" w:rsidP="00D306A0">
            <w:r w:rsidRPr="00D306A0">
              <w:t>Expanded risk register</w:t>
            </w:r>
          </w:p>
        </w:tc>
        <w:tc>
          <w:tcPr>
            <w:tcW w:w="0" w:type="auto"/>
            <w:vAlign w:val="center"/>
            <w:hideMark/>
          </w:tcPr>
          <w:p w14:paraId="279938DE" w14:textId="77777777" w:rsidR="00D306A0" w:rsidRPr="00D306A0" w:rsidRDefault="00D306A0" w:rsidP="00D306A0">
            <w:r/>
          </w:p>
        </w:tc>
        <w:tc>
          <w:tcPr>
            <w:tcW w:w="0" w:type="auto"/>
            <w:vAlign w:val="center"/>
            <w:hideMark/>
          </w:tcPr>
          <w:p w14:paraId="3C275A51" w14:textId="77777777" w:rsidR="00D306A0" w:rsidRPr="00D306A0" w:rsidRDefault="00D306A0" w:rsidP="00D306A0">
            <w:r w:rsidRPr="00D306A0">
              <w:t>SHTM 00, CDM 2015</w:t>
            </w:r>
          </w:p>
        </w:tc>
      </w:tr>
    </w:tbl>
    <w:p w14:paraId="258D082C" w14:textId="77777777" w:rsidR="00D306A0" w:rsidRPr="00D306A0" w:rsidRDefault="00D306A0" w:rsidP="00D306A0">
      <w:pPr>
        <w:rPr>
          <w:b/>
          <w:bCs/>
        </w:rPr>
      </w:pPr>
      <w:r w:rsidRPr="00D306A0">
        <w:rPr>
          <w:b/>
          <w:bCs/>
        </w:rPr>
        <w:t>Stage 1 – Preparation and Briefing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07"/>
        <w:gridCol w:w="1473"/>
        <w:gridCol w:w="1836"/>
      </w:tblGrid>
      <w:tr w:rsidR="00D306A0" w:rsidRPr="00D306A0" w14:paraId="4B116813" w14:textId="77777777" w:rsidTr="00D306A0">
        <w:trPr>
          <w:tblHeader/>
          <w:tblCellSpacing w:w="15" w:type="dxa"/>
        </w:trPr>
        <w:tc>
          <w:tcPr>
            <w:tcW w:w="0" w:type="auto"/>
            <w:vAlign w:val="center"/>
            <w:hideMark/>
          </w:tcPr>
          <w:p w14:paraId="2E7F3D80" w14:textId="77777777" w:rsidR="00D306A0" w:rsidRPr="00D306A0" w:rsidRDefault="00D306A0" w:rsidP="00D306A0">
            <w:pPr>
              <w:rPr>
                <w:b/>
                <w:bCs/>
              </w:rPr>
            </w:pPr>
            <w:r w:rsidRPr="00D306A0">
              <w:rPr>
                <w:b/>
                <w:bCs/>
              </w:rPr>
              <w:t>Deliverable</w:t>
            </w:r>
          </w:p>
        </w:tc>
        <w:tc>
          <w:tcPr>
            <w:tcW w:w="0" w:type="auto"/>
            <w:vAlign w:val="center"/>
            <w:hideMark/>
          </w:tcPr>
          <w:p w14:paraId="62673635" w14:textId="77777777" w:rsidR="00D306A0" w:rsidRPr="00D306A0" w:rsidRDefault="00D306A0" w:rsidP="00D306A0">
            <w:pPr>
              <w:rPr>
                <w:b/>
                <w:bCs/>
              </w:rPr>
            </w:pPr>
            <w:r w:rsidRPr="00D306A0">
              <w:rPr>
                <w:b/>
                <w:bCs/>
              </w:rPr>
              <w:t>Status / Evidence</w:t>
            </w:r>
          </w:p>
        </w:tc>
        <w:tc>
          <w:tcPr>
            <w:tcW w:w="0" w:type="auto"/>
            <w:vAlign w:val="center"/>
            <w:hideMark/>
          </w:tcPr>
          <w:p w14:paraId="2C977FDF" w14:textId="77777777" w:rsidR="00D306A0" w:rsidRPr="00D306A0" w:rsidRDefault="00D306A0" w:rsidP="00D306A0">
            <w:pPr>
              <w:rPr>
                <w:b/>
                <w:bCs/>
              </w:rPr>
            </w:pPr>
            <w:r w:rsidRPr="00D306A0">
              <w:rPr>
                <w:b/>
                <w:bCs/>
              </w:rPr>
              <w:t>Relevant Notes</w:t>
            </w:r>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Project Brief (scope: new installation vs major upgrade of existing unit)</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Existing escalator condition survey (drive system, steps, balustrades, safety devices)</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t>BS EN 115-2</w:t>
            </w:r>
          </w:p>
        </w:tc>
      </w:tr>
      <w:tr w:rsidR="00D306A0" w:rsidRPr="00D306A0" w14:paraId="567553C8" w14:textId="77777777" w:rsidTr="00D306A0">
        <w:trPr>
          <w:tblCellSpacing w:w="15" w:type="dxa"/>
        </w:trPr>
        <w:tc>
          <w:tcPr>
            <w:tcW w:w="0" w:type="auto"/>
            <w:vAlign w:val="center"/>
            <w:hideMark/>
          </w:tcPr>
          <w:p w14:paraId="75D2877A" w14:textId="77777777" w:rsidR="00D306A0" w:rsidRPr="00D306A0" w:rsidRDefault="00D306A0" w:rsidP="00D306A0">
            <w:r w:rsidRPr="00D306A0">
              <w:t>Baseline footfall / usage data and residual life assessment</w:t>
            </w:r>
          </w:p>
        </w:tc>
        <w:tc>
          <w:tcPr>
            <w:tcW w:w="0" w:type="auto"/>
            <w:vAlign w:val="center"/>
            <w:hideMark/>
          </w:tcPr>
          <w:p w14:paraId="28A446B6" w14:textId="77777777" w:rsidR="00D306A0" w:rsidRPr="00D306A0" w:rsidRDefault="00D306A0" w:rsidP="00D306A0">
            <w:r/>
          </w:p>
        </w:tc>
        <w:tc>
          <w:tcPr>
            <w:tcW w:w="0" w:type="auto"/>
            <w:vAlign w:val="center"/>
            <w:hideMark/>
          </w:tcPr>
          <w:p w14:paraId="41398377" w14:textId="77777777" w:rsidR="00D306A0" w:rsidRPr="00D306A0" w:rsidRDefault="00D306A0" w:rsidP="00D306A0">
            <w:r w:rsidRPr="00D306A0"/>
          </w:p>
        </w:tc>
      </w:tr>
    </w:tbl>
    <w:p w14:paraId="7368B024" w14:textId="77777777" w:rsidR="00D306A0" w:rsidRPr="00D306A0" w:rsidRDefault="00D306A0" w:rsidP="00D306A0">
      <w:pPr>
        <w:rPr>
          <w:b/>
          <w:bCs/>
        </w:rPr>
      </w:pPr>
      <w:r w:rsidRPr="00D306A0">
        <w:rPr>
          <w:b/>
          <w:bCs/>
        </w:rPr>
        <w:t>Stage 2 – Concept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57"/>
        <w:gridCol w:w="1488"/>
        <w:gridCol w:w="1871"/>
      </w:tblGrid>
      <w:tr w:rsidR="00D306A0" w:rsidRPr="00D306A0" w14:paraId="0C573E9A" w14:textId="77777777" w:rsidTr="00D306A0">
        <w:trPr>
          <w:tblHeader/>
          <w:tblCellSpacing w:w="15" w:type="dxa"/>
        </w:trPr>
        <w:tc>
          <w:tcPr>
            <w:tcW w:w="0" w:type="auto"/>
            <w:vAlign w:val="center"/>
            <w:hideMark/>
          </w:tcPr>
          <w:p w14:paraId="123A4553" w14:textId="77777777" w:rsidR="00D306A0" w:rsidRPr="00D306A0" w:rsidRDefault="00D306A0" w:rsidP="00D306A0">
            <w:pPr>
              <w:rPr>
                <w:b/>
                <w:bCs/>
              </w:rPr>
            </w:pPr>
            <w:r w:rsidRPr="00D306A0">
              <w:rPr>
                <w:b/>
                <w:bCs/>
              </w:rPr>
              <w:t>Deliverable</w:t>
            </w:r>
          </w:p>
        </w:tc>
        <w:tc>
          <w:tcPr>
            <w:tcW w:w="0" w:type="auto"/>
            <w:vAlign w:val="center"/>
            <w:hideMark/>
          </w:tcPr>
          <w:p w14:paraId="60823886" w14:textId="77777777" w:rsidR="00D306A0" w:rsidRPr="00D306A0" w:rsidRDefault="00D306A0" w:rsidP="00D306A0">
            <w:pPr>
              <w:rPr>
                <w:b/>
                <w:bCs/>
              </w:rPr>
            </w:pPr>
            <w:r w:rsidRPr="00D306A0">
              <w:rPr>
                <w:b/>
                <w:bCs/>
              </w:rPr>
              <w:t>Status / Evidence</w:t>
            </w:r>
          </w:p>
        </w:tc>
        <w:tc>
          <w:tcPr>
            <w:tcW w:w="0" w:type="auto"/>
            <w:vAlign w:val="center"/>
            <w:hideMark/>
          </w:tcPr>
          <w:p w14:paraId="7EBF4F6F" w14:textId="77777777" w:rsidR="00D306A0" w:rsidRPr="00D306A0" w:rsidRDefault="00D306A0" w:rsidP="00D306A0">
            <w:pPr>
              <w:rPr>
                <w:b/>
                <w:bCs/>
              </w:rPr>
            </w:pPr>
            <w:r w:rsidRPr="00D306A0">
              <w:rPr>
                <w:b/>
                <w:bCs/>
              </w:rPr>
              <w:t>Relevant Notes</w:t>
            </w:r>
          </w:p>
        </w:tc>
      </w:tr>
      <w:tr w:rsidR="00D306A0" w:rsidRPr="00D306A0" w14:paraId="0A755435" w14:textId="77777777" w:rsidTr="00D306A0">
        <w:trPr>
          <w:tblCellSpacing w:w="15" w:type="dxa"/>
        </w:trPr>
        <w:tc>
          <w:tcPr>
            <w:tcW w:w="0" w:type="auto"/>
            <w:vAlign w:val="center"/>
            <w:hideMark/>
          </w:tcPr>
          <w:p w14:paraId="0A09555E" w14:textId="77777777" w:rsidR="00D306A0" w:rsidRPr="00D306A0" w:rsidRDefault="00D306A0" w:rsidP="00D306A0">
            <w:r w:rsidRPr="00D306A0">
              <w:t>Concept design options (full replacement vs modernisation, capacity, rise/pitch)</w:t>
            </w:r>
          </w:p>
        </w:tc>
        <w:tc>
          <w:tcPr>
            <w:tcW w:w="0" w:type="auto"/>
            <w:vAlign w:val="center"/>
            <w:hideMark/>
          </w:tcPr>
          <w:p w14:paraId="231CAC33" w14:textId="77777777" w:rsidR="00D306A0" w:rsidRPr="00D306A0" w:rsidRDefault="00D306A0" w:rsidP="00D306A0">
            <w:r/>
          </w:p>
        </w:tc>
        <w:tc>
          <w:tcPr>
            <w:tcW w:w="0" w:type="auto"/>
            <w:vAlign w:val="center"/>
            <w:hideMark/>
          </w:tcPr>
          <w:p w14:paraId="1E06EB15" w14:textId="77777777" w:rsidR="00D306A0" w:rsidRPr="00D306A0" w:rsidRDefault="00D306A0" w:rsidP="00D306A0">
            <w:r w:rsidRPr="00D306A0">
              <w:t>BS EN 115-1:2017</w:t>
            </w:r>
          </w:p>
        </w:tc>
      </w:tr>
      <w:tr w:rsidR="00D306A0" w:rsidRPr="00D306A0" w14:paraId="0A755435" w14:textId="77777777" w:rsidTr="00D306A0">
        <w:trPr>
          <w:tblCellSpacing w:w="15" w:type="dxa"/>
        </w:trPr>
        <w:tc>
          <w:tcPr>
            <w:tcW w:w="0" w:type="auto"/>
            <w:vAlign w:val="center"/>
            <w:hideMark/>
          </w:tcPr>
          <w:p w14:paraId="0A09555E" w14:textId="77777777" w:rsidR="00D306A0" w:rsidRPr="00D306A0" w:rsidRDefault="00D306A0" w:rsidP="00D306A0">
            <w:r w:rsidRPr="00D306A0">
              <w:t>Outline circulation strategy for the works period (alternative routes, temporary lift capacity)</w:t>
            </w:r>
          </w:p>
        </w:tc>
        <w:tc>
          <w:tcPr>
            <w:tcW w:w="0" w:type="auto"/>
            <w:vAlign w:val="center"/>
            <w:hideMark/>
          </w:tcPr>
          <w:p w14:paraId="231CAC33" w14:textId="77777777" w:rsidR="00D306A0" w:rsidRPr="00D306A0" w:rsidRDefault="00D306A0" w:rsidP="00D306A0">
            <w:r/>
          </w:p>
        </w:tc>
        <w:tc>
          <w:tcPr>
            <w:tcW w:w="0" w:type="auto"/>
            <w:vAlign w:val="center"/>
            <w:hideMark/>
          </w:tcPr>
          <w:p w14:paraId="1E06EB15" w14:textId="77777777" w:rsidR="00D306A0" w:rsidRPr="00D306A0" w:rsidRDefault="00D306A0" w:rsidP="00D306A0">
            <w:r w:rsidRPr="00D306A0"/>
          </w:p>
        </w:tc>
      </w:tr>
    </w:tbl>
    <w:p w14:paraId="1E566B14" w14:textId="77777777" w:rsidR="00D306A0" w:rsidRPr="00D306A0" w:rsidRDefault="00D306A0" w:rsidP="00D306A0">
      <w:pPr>
        <w:rPr>
          <w:b/>
          <w:bCs/>
        </w:rPr>
      </w:pPr>
      <w:r w:rsidRPr="00D306A0">
        <w:rPr>
          <w:b/>
          <w:bCs/>
        </w:rPr>
        <w:t>Stage 3 – Spatial Coordination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81"/>
        <w:gridCol w:w="1504"/>
        <w:gridCol w:w="1831"/>
      </w:tblGrid>
      <w:tr w:rsidR="00D306A0" w:rsidRPr="00D306A0" w14:paraId="03AAE6B6" w14:textId="77777777" w:rsidTr="00D306A0">
        <w:trPr>
          <w:tblHeader/>
          <w:tblCellSpacing w:w="15" w:type="dxa"/>
        </w:trPr>
        <w:tc>
          <w:tcPr>
            <w:tcW w:w="0" w:type="auto"/>
            <w:vAlign w:val="center"/>
            <w:hideMark/>
          </w:tcPr>
          <w:p w14:paraId="7456B03C" w14:textId="77777777" w:rsidR="00D306A0" w:rsidRPr="00D306A0" w:rsidRDefault="00D306A0" w:rsidP="00D306A0">
            <w:pPr>
              <w:rPr>
                <w:b/>
                <w:bCs/>
              </w:rPr>
            </w:pPr>
            <w:r w:rsidRPr="00D306A0">
              <w:rPr>
                <w:b/>
                <w:bCs/>
              </w:rPr>
              <w:t>Deliverable</w:t>
            </w:r>
          </w:p>
        </w:tc>
        <w:tc>
          <w:tcPr>
            <w:tcW w:w="0" w:type="auto"/>
            <w:vAlign w:val="center"/>
            <w:hideMark/>
          </w:tcPr>
          <w:p w14:paraId="3CB3E30F" w14:textId="77777777" w:rsidR="00D306A0" w:rsidRPr="00D306A0" w:rsidRDefault="00D306A0" w:rsidP="00D306A0">
            <w:pPr>
              <w:rPr>
                <w:b/>
                <w:bCs/>
              </w:rPr>
            </w:pPr>
            <w:r w:rsidRPr="00D306A0">
              <w:rPr>
                <w:b/>
                <w:bCs/>
              </w:rPr>
              <w:t>Status / Evidence</w:t>
            </w:r>
          </w:p>
        </w:tc>
        <w:tc>
          <w:tcPr>
            <w:tcW w:w="0" w:type="auto"/>
            <w:vAlign w:val="center"/>
            <w:hideMark/>
          </w:tcPr>
          <w:p w14:paraId="5C1A9AA1" w14:textId="77777777" w:rsidR="00D306A0" w:rsidRPr="00D306A0" w:rsidRDefault="00D306A0" w:rsidP="00D306A0">
            <w:pPr>
              <w:rPr>
                <w:b/>
                <w:bCs/>
              </w:rPr>
            </w:pPr>
            <w:r w:rsidRPr="00D306A0">
              <w:rPr>
                <w:b/>
                <w:bCs/>
              </w:rPr>
              <w:t>Relevant Notes</w:t>
            </w:r>
          </w:p>
        </w:tc>
      </w:tr>
      <w:tr w:rsidR="00D306A0" w:rsidRPr="00D306A0" w14:paraId="0755F29B" w14:textId="77777777" w:rsidTr="00D306A0">
        <w:trPr>
          <w:tblCellSpacing w:w="15" w:type="dxa"/>
        </w:trPr>
        <w:tc>
          <w:tcPr>
            <w:tcW w:w="0" w:type="auto"/>
            <w:vAlign w:val="center"/>
            <w:hideMark/>
          </w:tcPr>
          <w:p w14:paraId="4E618DE3" w14:textId="77777777" w:rsidR="00D306A0" w:rsidRPr="00D306A0" w:rsidRDefault="00D306A0" w:rsidP="00D306A0">
            <w:r w:rsidRPr="00D306A0">
              <w:t>Coordinated design (structural opening, balustrade/handrail interfaces, fire-compartmentation interfaces)</w:t>
            </w:r>
          </w:p>
        </w:tc>
        <w:tc>
          <w:tcPr>
            <w:tcW w:w="0" w:type="auto"/>
            <w:vAlign w:val="center"/>
            <w:hideMark/>
          </w:tcPr>
          <w:p w14:paraId="0F8D1908" w14:textId="77777777" w:rsidR="00D306A0" w:rsidRPr="00D306A0" w:rsidRDefault="00D306A0" w:rsidP="00D306A0">
            <w:r/>
          </w:p>
        </w:tc>
        <w:tc>
          <w:tcPr>
            <w:tcW w:w="0" w:type="auto"/>
            <w:vAlign w:val="center"/>
            <w:hideMark/>
          </w:tcPr>
          <w:p w14:paraId="3305FA09" w14:textId="77777777" w:rsidR="00D306A0" w:rsidRPr="00D306A0" w:rsidRDefault="00D306A0" w:rsidP="00D306A0">
            <w:r w:rsidRPr="00D306A0"/>
          </w:p>
        </w:tc>
      </w:tr>
      <w:tr w:rsidR="00D306A0" w:rsidRPr="00D306A0" w14:paraId="0755F29B" w14:textId="77777777" w:rsidTr="00D306A0">
        <w:trPr>
          <w:tblCellSpacing w:w="15" w:type="dxa"/>
        </w:trPr>
        <w:tc>
          <w:tcPr>
            <w:tcW w:w="0" w:type="auto"/>
            <w:vAlign w:val="center"/>
            <w:hideMark/>
          </w:tcPr>
          <w:p w14:paraId="4E618DE3" w14:textId="77777777" w:rsidR="00D306A0" w:rsidRPr="00D306A0" w:rsidRDefault="00D306A0" w:rsidP="00D306A0">
            <w:r w:rsidRPr="00D306A0">
              <w:t>Confirmed structural loading and pit/headroom dimensions</w:t>
            </w:r>
          </w:p>
        </w:tc>
        <w:tc>
          <w:tcPr>
            <w:tcW w:w="0" w:type="auto"/>
            <w:vAlign w:val="center"/>
            <w:hideMark/>
          </w:tcPr>
          <w:p w14:paraId="0F8D1908" w14:textId="77777777" w:rsidR="00D306A0" w:rsidRPr="00D306A0" w:rsidRDefault="00D306A0" w:rsidP="00D306A0">
            <w:r/>
          </w:p>
        </w:tc>
        <w:tc>
          <w:tcPr>
            <w:tcW w:w="0" w:type="auto"/>
            <w:vAlign w:val="center"/>
            <w:hideMark/>
          </w:tcPr>
          <w:p w14:paraId="3305FA09" w14:textId="77777777" w:rsidR="00D306A0" w:rsidRPr="00D306A0" w:rsidRDefault="00D306A0" w:rsidP="00D306A0">
            <w:r w:rsidRPr="00D306A0"/>
          </w:p>
        </w:tc>
      </w:tr>
    </w:tbl>
    <w:p w14:paraId="375DC5C4" w14:textId="77777777" w:rsidR="00D306A0" w:rsidRPr="00D306A0" w:rsidRDefault="00D306A0" w:rsidP="00D306A0">
      <w:pPr>
        <w:rPr>
          <w:b/>
          <w:bCs/>
        </w:rPr>
      </w:pPr>
      <w:r w:rsidRPr="00D306A0">
        <w:rPr>
          <w:b/>
          <w:bCs/>
        </w:rPr>
        <w:t>Stage 4 – Technical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97"/>
        <w:gridCol w:w="1407"/>
        <w:gridCol w:w="2012"/>
      </w:tblGrid>
      <w:tr w:rsidR="00D306A0" w:rsidRPr="00D306A0" w14:paraId="4A4AABDC" w14:textId="77777777" w:rsidTr="00D306A0">
        <w:trPr>
          <w:tblHeader/>
          <w:tblCellSpacing w:w="15" w:type="dxa"/>
        </w:trPr>
        <w:tc>
          <w:tcPr>
            <w:tcW w:w="0" w:type="auto"/>
            <w:vAlign w:val="center"/>
            <w:hideMark/>
          </w:tcPr>
          <w:p w14:paraId="2378C074" w14:textId="77777777" w:rsidR="00D306A0" w:rsidRPr="00D306A0" w:rsidRDefault="00D306A0" w:rsidP="00D306A0">
            <w:pPr>
              <w:rPr>
                <w:b/>
                <w:bCs/>
              </w:rPr>
            </w:pPr>
            <w:r w:rsidRPr="00D306A0">
              <w:rPr>
                <w:b/>
                <w:bCs/>
              </w:rPr>
              <w:t>Deliverable</w:t>
            </w:r>
          </w:p>
        </w:tc>
        <w:tc>
          <w:tcPr>
            <w:tcW w:w="0" w:type="auto"/>
            <w:vAlign w:val="center"/>
            <w:hideMark/>
          </w:tcPr>
          <w:p w14:paraId="6A7BEA38" w14:textId="77777777" w:rsidR="00D306A0" w:rsidRPr="00D306A0" w:rsidRDefault="00D306A0" w:rsidP="00D306A0">
            <w:pPr>
              <w:rPr>
                <w:b/>
                <w:bCs/>
              </w:rPr>
            </w:pPr>
            <w:r w:rsidRPr="00D306A0">
              <w:rPr>
                <w:b/>
                <w:bCs/>
              </w:rPr>
              <w:t>Status / Evidence</w:t>
            </w:r>
          </w:p>
        </w:tc>
        <w:tc>
          <w:tcPr>
            <w:tcW w:w="0" w:type="auto"/>
            <w:vAlign w:val="center"/>
            <w:hideMark/>
          </w:tcPr>
          <w:p w14:paraId="2ED55C82" w14:textId="77777777" w:rsidR="00D306A0" w:rsidRPr="00D306A0" w:rsidRDefault="00D306A0" w:rsidP="00D306A0">
            <w:pPr>
              <w:rPr>
                <w:b/>
                <w:bCs/>
              </w:rPr>
            </w:pPr>
            <w:r w:rsidRPr="00D306A0">
              <w:rPr>
                <w:b/>
                <w:bCs/>
              </w:rPr>
              <w:t>Relevant Notes</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Full technical design drawings and specifications</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BS EN 115-1:2017</w:t>
            </w:r>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Fire and smoke-compartmentation strategy for the escalator void</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p>
        </w:tc>
      </w:tr>
      <w:tr w:rsidR="00D306A0" w:rsidRPr="00D306A0" w14:paraId="49DBAF27" w14:textId="77777777" w:rsidTr="00D306A0">
        <w:trPr>
          <w:tblCellSpacing w:w="15" w:type="dxa"/>
        </w:trPr>
        <w:tc>
          <w:tcPr>
            <w:tcW w:w="0" w:type="auto"/>
            <w:vAlign w:val="center"/>
            <w:hideMark/>
          </w:tcPr>
          <w:p w14:paraId="2DAFFF73" w14:textId="77777777" w:rsidR="00D306A0" w:rsidRPr="00D306A0" w:rsidRDefault="00D306A0" w:rsidP="00D306A0">
            <w:r w:rsidRPr="00D306A0">
              <w:t>PUWER-compliant maintenance and inspection regime specified</w:t>
            </w:r>
          </w:p>
        </w:tc>
        <w:tc>
          <w:tcPr>
            <w:tcW w:w="0" w:type="auto"/>
            <w:vAlign w:val="center"/>
            <w:hideMark/>
          </w:tcPr>
          <w:p w14:paraId="53E7A12A" w14:textId="77777777" w:rsidR="00D306A0" w:rsidRPr="00D306A0" w:rsidRDefault="00D306A0" w:rsidP="00D306A0">
            <w:r/>
          </w:p>
        </w:tc>
        <w:tc>
          <w:tcPr>
            <w:tcW w:w="0" w:type="auto"/>
            <w:vAlign w:val="center"/>
            <w:hideMark/>
          </w:tcPr>
          <w:p w14:paraId="781E9F8C" w14:textId="77777777" w:rsidR="00D306A0" w:rsidRPr="00D306A0" w:rsidRDefault="00D306A0" w:rsidP="00D306A0">
            <w:r w:rsidRPr="00D306A0">
              <w:t>PUWER 1998</w:t>
            </w:r>
          </w:p>
        </w:tc>
      </w:tr>
    </w:tbl>
    <w:p w14:paraId="1ECB6DCB" w14:textId="77777777" w:rsidR="00D306A0" w:rsidRPr="00D306A0" w:rsidRDefault="00D306A0" w:rsidP="00D306A0">
      <w:pPr>
        <w:rPr>
          <w:b/>
          <w:bCs/>
        </w:rPr>
      </w:pPr>
      <w:r w:rsidRPr="00D306A0">
        <w:rPr>
          <w:b/>
          <w:bCs/>
        </w:rPr>
        <w:t>Stage 5 – Manufacturing and Construction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0"/>
        <w:gridCol w:w="1428"/>
        <w:gridCol w:w="1988"/>
      </w:tblGrid>
      <w:tr w:rsidR="00D306A0" w:rsidRPr="00D306A0" w14:paraId="36320656" w14:textId="77777777" w:rsidTr="00D306A0">
        <w:trPr>
          <w:tblHeader/>
          <w:tblCellSpacing w:w="15" w:type="dxa"/>
        </w:trPr>
        <w:tc>
          <w:tcPr>
            <w:tcW w:w="0" w:type="auto"/>
            <w:vAlign w:val="center"/>
            <w:hideMark/>
          </w:tcPr>
          <w:p w14:paraId="7D3FC1BC" w14:textId="77777777" w:rsidR="00D306A0" w:rsidRPr="00D306A0" w:rsidRDefault="00D306A0" w:rsidP="00D306A0">
            <w:pPr>
              <w:rPr>
                <w:b/>
                <w:bCs/>
              </w:rPr>
            </w:pPr>
            <w:r w:rsidRPr="00D306A0">
              <w:rPr>
                <w:b/>
                <w:bCs/>
              </w:rPr>
              <w:t>Deliverable</w:t>
            </w:r>
          </w:p>
        </w:tc>
        <w:tc>
          <w:tcPr>
            <w:tcW w:w="0" w:type="auto"/>
            <w:vAlign w:val="center"/>
            <w:hideMark/>
          </w:tcPr>
          <w:p w14:paraId="11F843F5" w14:textId="77777777" w:rsidR="00D306A0" w:rsidRPr="00D306A0" w:rsidRDefault="00D306A0" w:rsidP="00D306A0">
            <w:pPr>
              <w:rPr>
                <w:b/>
                <w:bCs/>
              </w:rPr>
            </w:pPr>
            <w:r w:rsidRPr="00D306A0">
              <w:rPr>
                <w:b/>
                <w:bCs/>
              </w:rPr>
              <w:t>Status / Evidence</w:t>
            </w:r>
          </w:p>
        </w:tc>
        <w:tc>
          <w:tcPr>
            <w:tcW w:w="0" w:type="auto"/>
            <w:vAlign w:val="center"/>
            <w:hideMark/>
          </w:tcPr>
          <w:p w14:paraId="7C53CED0" w14:textId="77777777" w:rsidR="00D306A0" w:rsidRPr="00D306A0" w:rsidRDefault="00D306A0" w:rsidP="00D306A0">
            <w:pPr>
              <w:rPr>
                <w:b/>
                <w:bCs/>
              </w:rPr>
            </w:pPr>
            <w:r w:rsidRPr="00D306A0">
              <w:rPr>
                <w:b/>
                <w:bCs/>
              </w:rPr>
              <w:t>Relevant Notes</w:t>
            </w:r>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Installation records and contractor method statements</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PVG-checked contractor attendance records</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p>
        </w:tc>
      </w:tr>
      <w:tr w:rsidR="00D306A0" w:rsidRPr="00D306A0" w14:paraId="0CB0ED3A" w14:textId="77777777" w:rsidTr="00D306A0">
        <w:trPr>
          <w:tblCellSpacing w:w="15" w:type="dxa"/>
        </w:trPr>
        <w:tc>
          <w:tcPr>
            <w:tcW w:w="0" w:type="auto"/>
            <w:vAlign w:val="center"/>
            <w:hideMark/>
          </w:tcPr>
          <w:p w14:paraId="3829E5FD" w14:textId="77777777" w:rsidR="00D306A0" w:rsidRPr="00D306A0" w:rsidRDefault="00D306A0" w:rsidP="00D306A0">
            <w:r w:rsidRPr="00D306A0">
              <w:t>Temporary circulation/signage arrangements maintained throughout works</w:t>
            </w:r>
          </w:p>
        </w:tc>
        <w:tc>
          <w:tcPr>
            <w:tcW w:w="0" w:type="auto"/>
            <w:vAlign w:val="center"/>
            <w:hideMark/>
          </w:tcPr>
          <w:p w14:paraId="3A68DF18" w14:textId="77777777" w:rsidR="00D306A0" w:rsidRPr="00D306A0" w:rsidRDefault="00D306A0" w:rsidP="00D306A0">
            <w:r/>
          </w:p>
        </w:tc>
        <w:tc>
          <w:tcPr>
            <w:tcW w:w="0" w:type="auto"/>
            <w:vAlign w:val="center"/>
            <w:hideMark/>
          </w:tcPr>
          <w:p w14:paraId="644380CC" w14:textId="77777777" w:rsidR="00D306A0" w:rsidRPr="00D306A0" w:rsidRDefault="00D306A0" w:rsidP="00D306A0">
            <w:r w:rsidRPr="00D306A0"/>
          </w:p>
        </w:tc>
      </w:tr>
    </w:tbl>
    <w:p w14:paraId="36721BEE" w14:textId="77777777" w:rsidR="00D306A0" w:rsidRPr="00D306A0" w:rsidRDefault="00D306A0" w:rsidP="00D306A0">
      <w:pPr>
        <w:rPr>
          <w:b/>
          <w:bCs/>
        </w:rPr>
      </w:pPr>
      <w:r w:rsidRPr="00D306A0">
        <w:rPr>
          <w:b/>
          <w:bCs/>
        </w:rPr>
        <w:t>Stage 6 – Handover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18"/>
        <w:gridCol w:w="1560"/>
        <w:gridCol w:w="1938"/>
      </w:tblGrid>
      <w:tr w:rsidR="00D306A0" w:rsidRPr="00D306A0" w14:paraId="3F6DFD9E" w14:textId="77777777" w:rsidTr="00D306A0">
        <w:trPr>
          <w:tblHeader/>
          <w:tblCellSpacing w:w="15" w:type="dxa"/>
        </w:trPr>
        <w:tc>
          <w:tcPr>
            <w:tcW w:w="0" w:type="auto"/>
            <w:vAlign w:val="center"/>
            <w:hideMark/>
          </w:tcPr>
          <w:p w14:paraId="52A650E7" w14:textId="77777777" w:rsidR="00D306A0" w:rsidRPr="00D306A0" w:rsidRDefault="00D306A0" w:rsidP="00D306A0">
            <w:pPr>
              <w:rPr>
                <w:b/>
                <w:bCs/>
              </w:rPr>
            </w:pPr>
            <w:r w:rsidRPr="00D306A0">
              <w:rPr>
                <w:b/>
                <w:bCs/>
              </w:rPr>
              <w:t>Deliverable</w:t>
            </w:r>
          </w:p>
        </w:tc>
        <w:tc>
          <w:tcPr>
            <w:tcW w:w="0" w:type="auto"/>
            <w:vAlign w:val="center"/>
            <w:hideMark/>
          </w:tcPr>
          <w:p w14:paraId="517A86C8" w14:textId="77777777" w:rsidR="00D306A0" w:rsidRPr="00D306A0" w:rsidRDefault="00D306A0" w:rsidP="00D306A0">
            <w:pPr>
              <w:rPr>
                <w:b/>
                <w:bCs/>
              </w:rPr>
            </w:pPr>
            <w:r w:rsidRPr="00D306A0">
              <w:rPr>
                <w:b/>
                <w:bCs/>
              </w:rPr>
              <w:t>Status / Evidence</w:t>
            </w:r>
          </w:p>
        </w:tc>
        <w:tc>
          <w:tcPr>
            <w:tcW w:w="0" w:type="auto"/>
            <w:vAlign w:val="center"/>
            <w:hideMark/>
          </w:tcPr>
          <w:p w14:paraId="649190D4" w14:textId="77777777" w:rsidR="00D306A0" w:rsidRPr="00D306A0" w:rsidRDefault="00D306A0" w:rsidP="00D306A0">
            <w:pPr>
              <w:rPr>
                <w:b/>
                <w:bCs/>
              </w:rPr>
            </w:pPr>
            <w:r w:rsidRPr="00D306A0">
              <w:rPr>
                <w:b/>
                <w:bCs/>
              </w:rPr>
              <w:t>Relevant Notes</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Full commissioning records and safety-device functional tests</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t>BS EN 115-1:2017</w:t>
            </w:r>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O&amp;M manuals, warranties and as-built drawings</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p>
        </w:tc>
      </w:tr>
      <w:tr w:rsidR="00D306A0" w:rsidRPr="00D306A0" w14:paraId="0ED9E7ED" w14:textId="77777777" w:rsidTr="00D306A0">
        <w:trPr>
          <w:tblCellSpacing w:w="15" w:type="dxa"/>
        </w:trPr>
        <w:tc>
          <w:tcPr>
            <w:tcW w:w="0" w:type="auto"/>
            <w:vAlign w:val="center"/>
            <w:hideMark/>
          </w:tcPr>
          <w:p w14:paraId="79A75FC0" w14:textId="77777777" w:rsidR="00D306A0" w:rsidRPr="00D306A0" w:rsidRDefault="00D306A0" w:rsidP="00D306A0">
            <w:r w:rsidRPr="00D306A0">
              <w:t>Confirmation of PUWER inspection regime handed to the maintenance provider</w:t>
            </w:r>
          </w:p>
        </w:tc>
        <w:tc>
          <w:tcPr>
            <w:tcW w:w="0" w:type="auto"/>
            <w:vAlign w:val="center"/>
            <w:hideMark/>
          </w:tcPr>
          <w:p w14:paraId="25114249" w14:textId="77777777" w:rsidR="00D306A0" w:rsidRPr="00D306A0" w:rsidRDefault="00D306A0" w:rsidP="00D306A0">
            <w:r/>
          </w:p>
        </w:tc>
        <w:tc>
          <w:tcPr>
            <w:tcW w:w="0" w:type="auto"/>
            <w:vAlign w:val="center"/>
            <w:hideMark/>
          </w:tcPr>
          <w:p w14:paraId="2228B5F9" w14:textId="77777777" w:rsidR="00D306A0" w:rsidRPr="00D306A0" w:rsidRDefault="00D306A0" w:rsidP="00D306A0">
            <w:r w:rsidRPr="00D306A0">
              <w:t>PUWER 1998</w:t>
            </w:r>
          </w:p>
        </w:tc>
      </w:tr>
    </w:tbl>
    <w:p w14:paraId="148FFCEF" w14:textId="77777777" w:rsidR="00D306A0" w:rsidRPr="00D306A0" w:rsidRDefault="00D306A0" w:rsidP="00D306A0">
      <w:pPr>
        <w:rPr>
          <w:b/>
          <w:bCs/>
        </w:rPr>
      </w:pPr>
      <w:r w:rsidRPr="00D306A0">
        <w:rPr>
          <w:b/>
          <w:bCs/>
        </w:rPr>
        <w:t>Stage 7 – 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77"/>
        <w:gridCol w:w="1543"/>
        <w:gridCol w:w="1896"/>
      </w:tblGrid>
      <w:tr w:rsidR="00D306A0" w:rsidRPr="00D306A0" w14:paraId="04607232" w14:textId="77777777" w:rsidTr="00D306A0">
        <w:trPr>
          <w:tblHeader/>
          <w:tblCellSpacing w:w="15" w:type="dxa"/>
        </w:trPr>
        <w:tc>
          <w:tcPr>
            <w:tcW w:w="0" w:type="auto"/>
            <w:vAlign w:val="center"/>
            <w:hideMark/>
          </w:tcPr>
          <w:p w14:paraId="72E72102" w14:textId="77777777" w:rsidR="00D306A0" w:rsidRPr="00D306A0" w:rsidRDefault="00D306A0" w:rsidP="00D306A0">
            <w:pPr>
              <w:rPr>
                <w:b/>
                <w:bCs/>
              </w:rPr>
            </w:pPr>
            <w:r w:rsidRPr="00D306A0">
              <w:rPr>
                <w:b/>
                <w:bCs/>
              </w:rPr>
              <w:t>Deliverable</w:t>
            </w:r>
          </w:p>
        </w:tc>
        <w:tc>
          <w:tcPr>
            <w:tcW w:w="0" w:type="auto"/>
            <w:vAlign w:val="center"/>
            <w:hideMark/>
          </w:tcPr>
          <w:p w14:paraId="27EA2ECE" w14:textId="77777777" w:rsidR="00D306A0" w:rsidRPr="00D306A0" w:rsidRDefault="00D306A0" w:rsidP="00D306A0">
            <w:pPr>
              <w:rPr>
                <w:b/>
                <w:bCs/>
              </w:rPr>
            </w:pPr>
            <w:r w:rsidRPr="00D306A0">
              <w:rPr>
                <w:b/>
                <w:bCs/>
              </w:rPr>
              <w:t>Status / Evidence</w:t>
            </w:r>
          </w:p>
        </w:tc>
        <w:tc>
          <w:tcPr>
            <w:tcW w:w="0" w:type="auto"/>
            <w:vAlign w:val="center"/>
            <w:hideMark/>
          </w:tcPr>
          <w:p w14:paraId="5E127006" w14:textId="77777777" w:rsidR="00D306A0" w:rsidRPr="00D306A0" w:rsidRDefault="00D306A0" w:rsidP="00D306A0">
            <w:pPr>
              <w:rPr>
                <w:b/>
                <w:bCs/>
              </w:rPr>
            </w:pPr>
            <w:r w:rsidRPr="00D306A0">
              <w:rPr>
                <w:b/>
                <w:bCs/>
              </w:rPr>
              <w:t>Relevant Notes</w:t>
            </w:r>
          </w:p>
        </w:tc>
      </w:tr>
      <w:tr w:rsidR="00D306A0" w:rsidRPr="00D306A0" w14:paraId="3B7A427C" w14:textId="77777777" w:rsidTr="00D306A0">
        <w:trPr>
          <w:tblCellSpacing w:w="15" w:type="dxa"/>
        </w:trPr>
        <w:tc>
          <w:tcPr>
            <w:tcW w:w="0" w:type="auto"/>
            <w:vAlign w:val="center"/>
            <w:hideMark/>
          </w:tcPr>
          <w:p w14:paraId="03099DBE" w14:textId="77777777" w:rsidR="00D306A0" w:rsidRPr="00D306A0" w:rsidRDefault="00D306A0" w:rsidP="00D306A0">
            <w:r w:rsidRPr="00D306A0">
              <w:t>Ongoing PUWER-compliant maintenance and statutory inspection regime</w:t>
            </w:r>
          </w:p>
        </w:tc>
        <w:tc>
          <w:tcPr>
            <w:tcW w:w="0" w:type="auto"/>
            <w:vAlign w:val="center"/>
            <w:hideMark/>
          </w:tcPr>
          <w:p w14:paraId="22F530A2" w14:textId="77777777" w:rsidR="00D306A0" w:rsidRPr="00D306A0" w:rsidRDefault="00D306A0" w:rsidP="00D306A0">
            <w:r/>
          </w:p>
        </w:tc>
        <w:tc>
          <w:tcPr>
            <w:tcW w:w="0" w:type="auto"/>
            <w:vAlign w:val="center"/>
            <w:hideMark/>
          </w:tcPr>
          <w:p w14:paraId="33576995" w14:textId="77777777" w:rsidR="00D306A0" w:rsidRPr="00D306A0" w:rsidRDefault="00D306A0" w:rsidP="00D306A0">
            <w:r w:rsidRPr="00D306A0">
              <w:t>PUWER 1998, Workplace Regs reg 19</w:t>
            </w:r>
          </w:p>
        </w:tc>
      </w:tr>
      <w:tr w:rsidR="00D306A0" w:rsidRPr="00D306A0" w14:paraId="3B7A427C" w14:textId="77777777" w:rsidTr="00D306A0">
        <w:trPr>
          <w:tblCellSpacing w:w="15" w:type="dxa"/>
        </w:trPr>
        <w:tc>
          <w:tcPr>
            <w:tcW w:w="0" w:type="auto"/>
            <w:vAlign w:val="center"/>
            <w:hideMark/>
          </w:tcPr>
          <w:p w14:paraId="03099DBE" w14:textId="77777777" w:rsidR="00D306A0" w:rsidRPr="00D306A0" w:rsidRDefault="00D306A0" w:rsidP="00D306A0">
            <w:r w:rsidRPr="00D306A0">
              <w:t>Updated maintenance regime integrated with the wider PPM programme</w:t>
            </w:r>
          </w:p>
        </w:tc>
        <w:tc>
          <w:tcPr>
            <w:tcW w:w="0" w:type="auto"/>
            <w:vAlign w:val="center"/>
            <w:hideMark/>
          </w:tcPr>
          <w:p w14:paraId="22F530A2" w14:textId="77777777" w:rsidR="00D306A0" w:rsidRPr="00D306A0" w:rsidRDefault="00D306A0" w:rsidP="00D306A0">
            <w:r/>
          </w:p>
        </w:tc>
        <w:tc>
          <w:tcPr>
            <w:tcW w:w="0" w:type="auto"/>
            <w:vAlign w:val="center"/>
            <w:hideMark/>
          </w:tcPr>
          <w:p w14:paraId="33576995" w14:textId="77777777" w:rsidR="00D306A0" w:rsidRPr="00D306A0" w:rsidRDefault="00D306A0" w:rsidP="00D306A0">
            <w:r w:rsidRPr="00D306A0"/>
          </w:p>
        </w:tc>
      </w:tr>
    </w:tbl>
    <w:p w14:paraId="69B23D47" w14:textId="77777777" w:rsidR="00D306A0" w:rsidRPr="00D306A0" w:rsidRDefault="00D306A0" w:rsidP="00D306A0">
      <w:pPr>
        <w:rPr>
          <w:b/>
          <w:bCs/>
        </w:rPr>
      </w:pPr>
      <w:r w:rsidRPr="00D306A0">
        <w:rPr>
          <w:b/>
          <w:bCs/>
        </w:rPr>
        <w:t>Cross-Stage / Continuous Deliverables</w:t>
      </w:r>
    </w:p>
    <w:p w14:paraId="75E5B16B" w14:textId="77777777" w:rsidR="00D306A0" w:rsidRPr="00D306A0" w:rsidRDefault="00D306A0" w:rsidP="00D306A0">
      <w:pPr>
        <w:numPr>
          <w:ilvl w:val="0"/>
          <w:numId w:val="2"/>
        </w:numPr>
      </w:pPr>
      <w:r w:rsidRPr="00D306A0">
        <w:t>Live Health &amp; Safety File</w:t>
      </w:r>
    </w:p>
    <w:p w14:paraId="75E5B16B" w14:textId="77777777" w:rsidR="00D306A0" w:rsidRPr="00D306A0" w:rsidRDefault="00D306A0" w:rsidP="00D306A0">
      <w:pPr>
        <w:numPr>
          <w:ilvl w:val="0"/>
          <w:numId w:val="2"/>
        </w:numPr>
      </w:pPr>
      <w:r w:rsidRPr="00D306A0">
        <w:t>Project risk register (updated at each stage)</w:t>
      </w:r>
    </w:p>
    <w:p w14:paraId="75E5B16B" w14:textId="77777777" w:rsidR="00D306A0" w:rsidRPr="00D306A0" w:rsidRDefault="00D306A0" w:rsidP="00D306A0">
      <w:pPr>
        <w:numPr>
          <w:ilvl w:val="0"/>
          <w:numId w:val="2"/>
        </w:numPr>
      </w:pPr>
      <w:r w:rsidRPr="00D306A0">
        <w:t>Confirmation that no LOLER thorough-examination regime has been mistakenly applied to the escalator in place of the correct PUWER regime</w:t>
      </w:r>
    </w:p>
    <w:p w14:paraId="75E5B16B" w14:textId="77777777" w:rsidR="00D306A0" w:rsidRPr="00D306A0" w:rsidRDefault="00D306A0" w:rsidP="00D306A0">
      <w:pPr>
        <w:numPr>
          <w:ilvl w:val="0"/>
          <w:numId w:val="2"/>
        </w:numPr>
      </w:pPr>
      <w:r w:rsidRPr="00D306A0">
        <w:t>Evidence of current PVG Scheme membership for all contractor personnel attending site</w:t>
      </w:r>
    </w:p>
    <w:p w14:paraId="75E5B16B" w14:textId="77777777" w:rsidR="00D306A0" w:rsidRPr="00D306A0" w:rsidRDefault="00D306A0" w:rsidP="00D306A0">
      <w:pPr>
        <w:numPr>
          <w:ilvl w:val="0"/>
          <w:numId w:val="2"/>
        </w:numPr>
      </w:pPr>
      <w:r w:rsidRPr="00D306A0">
        <w:t>Where works are in, adjacent to, above or below a room housing ionising-radiation imaging equipment (CT, X-ray, fluoroscopy, nuclear medicine): confirm Radiation Protection Adviser (RPA) sign-off on shielding integrity per the Room/Ward/Theatre Refresh checklist - a separate gate from HAI-SCRIBE, not covered by it</w:t>
      </w:r>
    </w:p>
    <w:p w14:paraId="3822CA56" w14:textId="77777777" w:rsidR="00584254" w:rsidRDefault="00584254"/>
    <w:sectPr w:rsidR="005842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C250E"/>
    <w:multiLevelType w:val="multilevel"/>
    <w:tmpl w:val="858A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E0141E"/>
    <w:multiLevelType w:val="multilevel"/>
    <w:tmpl w:val="FB76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848431">
    <w:abstractNumId w:val="0"/>
  </w:num>
  <w:num w:numId="2" w16cid:durableId="2033870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A1E"/>
    <w:rsid w:val="00584254"/>
    <w:rsid w:val="00670B46"/>
    <w:rsid w:val="00B83A1E"/>
    <w:rsid w:val="00C30C00"/>
    <w:rsid w:val="00D306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BC71F"/>
  <w15:chartTrackingRefBased/>
  <w15:docId w15:val="{B0BC008D-9C49-4297-A5FF-0ADE7CB47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A1E"/>
    <w:rPr>
      <w:rFonts w:eastAsiaTheme="majorEastAsia" w:cstheme="majorBidi"/>
      <w:color w:val="272727" w:themeColor="text1" w:themeTint="D8"/>
    </w:rPr>
  </w:style>
  <w:style w:type="paragraph" w:styleId="Title">
    <w:name w:val="Title"/>
    <w:basedOn w:val="Normal"/>
    <w:next w:val="Normal"/>
    <w:link w:val="TitleChar"/>
    <w:uiPriority w:val="10"/>
    <w:qFormat/>
    <w:rsid w:val="00B83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A1E"/>
    <w:pPr>
      <w:spacing w:before="160"/>
      <w:jc w:val="center"/>
    </w:pPr>
    <w:rPr>
      <w:i/>
      <w:iCs/>
      <w:color w:val="404040" w:themeColor="text1" w:themeTint="BF"/>
    </w:rPr>
  </w:style>
  <w:style w:type="character" w:customStyle="1" w:styleId="QuoteChar">
    <w:name w:val="Quote Char"/>
    <w:basedOn w:val="DefaultParagraphFont"/>
    <w:link w:val="Quote"/>
    <w:uiPriority w:val="29"/>
    <w:rsid w:val="00B83A1E"/>
    <w:rPr>
      <w:i/>
      <w:iCs/>
      <w:color w:val="404040" w:themeColor="text1" w:themeTint="BF"/>
    </w:rPr>
  </w:style>
  <w:style w:type="paragraph" w:styleId="ListParagraph">
    <w:name w:val="List Paragraph"/>
    <w:basedOn w:val="Normal"/>
    <w:uiPriority w:val="34"/>
    <w:qFormat/>
    <w:rsid w:val="00B83A1E"/>
    <w:pPr>
      <w:ind w:left="720"/>
      <w:contextualSpacing/>
    </w:pPr>
  </w:style>
  <w:style w:type="character" w:styleId="IntenseEmphasis">
    <w:name w:val="Intense Emphasis"/>
    <w:basedOn w:val="DefaultParagraphFont"/>
    <w:uiPriority w:val="21"/>
    <w:qFormat/>
    <w:rsid w:val="00B83A1E"/>
    <w:rPr>
      <w:i/>
      <w:iCs/>
      <w:color w:val="0F4761" w:themeColor="accent1" w:themeShade="BF"/>
    </w:rPr>
  </w:style>
  <w:style w:type="paragraph" w:styleId="IntenseQuote">
    <w:name w:val="Intense Quote"/>
    <w:basedOn w:val="Normal"/>
    <w:next w:val="Normal"/>
    <w:link w:val="IntenseQuoteChar"/>
    <w:uiPriority w:val="30"/>
    <w:qFormat/>
    <w:rsid w:val="00B83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A1E"/>
    <w:rPr>
      <w:i/>
      <w:iCs/>
      <w:color w:val="0F4761" w:themeColor="accent1" w:themeShade="BF"/>
    </w:rPr>
  </w:style>
  <w:style w:type="character" w:styleId="IntenseReference">
    <w:name w:val="Intense Reference"/>
    <w:basedOn w:val="DefaultParagraphFont"/>
    <w:uiPriority w:val="32"/>
    <w:qFormat/>
    <w:rsid w:val="00B83A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35832">
      <w:bodyDiv w:val="1"/>
      <w:marLeft w:val="0"/>
      <w:marRight w:val="0"/>
      <w:marTop w:val="0"/>
      <w:marBottom w:val="0"/>
      <w:divBdr>
        <w:top w:val="none" w:sz="0" w:space="0" w:color="auto"/>
        <w:left w:val="none" w:sz="0" w:space="0" w:color="auto"/>
        <w:bottom w:val="none" w:sz="0" w:space="0" w:color="auto"/>
        <w:right w:val="none" w:sz="0" w:space="0" w:color="auto"/>
      </w:divBdr>
      <w:divsChild>
        <w:div w:id="1806511246">
          <w:marLeft w:val="0"/>
          <w:marRight w:val="0"/>
          <w:marTop w:val="0"/>
          <w:marBottom w:val="0"/>
          <w:divBdr>
            <w:top w:val="none" w:sz="0" w:space="0" w:color="auto"/>
            <w:left w:val="none" w:sz="0" w:space="0" w:color="auto"/>
            <w:bottom w:val="none" w:sz="0" w:space="0" w:color="auto"/>
            <w:right w:val="none" w:sz="0" w:space="0" w:color="auto"/>
          </w:divBdr>
          <w:divsChild>
            <w:div w:id="1262761814">
              <w:marLeft w:val="0"/>
              <w:marRight w:val="0"/>
              <w:marTop w:val="0"/>
              <w:marBottom w:val="0"/>
              <w:divBdr>
                <w:top w:val="none" w:sz="0" w:space="0" w:color="auto"/>
                <w:left w:val="none" w:sz="0" w:space="0" w:color="auto"/>
                <w:bottom w:val="none" w:sz="0" w:space="0" w:color="auto"/>
                <w:right w:val="none" w:sz="0" w:space="0" w:color="auto"/>
              </w:divBdr>
              <w:divsChild>
                <w:div w:id="547767112">
                  <w:marLeft w:val="0"/>
                  <w:marRight w:val="0"/>
                  <w:marTop w:val="0"/>
                  <w:marBottom w:val="0"/>
                  <w:divBdr>
                    <w:top w:val="none" w:sz="0" w:space="0" w:color="auto"/>
                    <w:left w:val="none" w:sz="0" w:space="0" w:color="auto"/>
                    <w:bottom w:val="none" w:sz="0" w:space="0" w:color="auto"/>
                    <w:right w:val="none" w:sz="0" w:space="0" w:color="auto"/>
                  </w:divBdr>
                  <w:divsChild>
                    <w:div w:id="20456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881839">
          <w:marLeft w:val="0"/>
          <w:marRight w:val="0"/>
          <w:marTop w:val="0"/>
          <w:marBottom w:val="0"/>
          <w:divBdr>
            <w:top w:val="none" w:sz="0" w:space="0" w:color="auto"/>
            <w:left w:val="none" w:sz="0" w:space="0" w:color="auto"/>
            <w:bottom w:val="none" w:sz="0" w:space="0" w:color="auto"/>
            <w:right w:val="none" w:sz="0" w:space="0" w:color="auto"/>
          </w:divBdr>
          <w:divsChild>
            <w:div w:id="419378445">
              <w:marLeft w:val="0"/>
              <w:marRight w:val="0"/>
              <w:marTop w:val="0"/>
              <w:marBottom w:val="0"/>
              <w:divBdr>
                <w:top w:val="none" w:sz="0" w:space="0" w:color="auto"/>
                <w:left w:val="none" w:sz="0" w:space="0" w:color="auto"/>
                <w:bottom w:val="none" w:sz="0" w:space="0" w:color="auto"/>
                <w:right w:val="none" w:sz="0" w:space="0" w:color="auto"/>
              </w:divBdr>
              <w:divsChild>
                <w:div w:id="13306855">
                  <w:marLeft w:val="0"/>
                  <w:marRight w:val="0"/>
                  <w:marTop w:val="0"/>
                  <w:marBottom w:val="0"/>
                  <w:divBdr>
                    <w:top w:val="none" w:sz="0" w:space="0" w:color="auto"/>
                    <w:left w:val="none" w:sz="0" w:space="0" w:color="auto"/>
                    <w:bottom w:val="none" w:sz="0" w:space="0" w:color="auto"/>
                    <w:right w:val="none" w:sz="0" w:space="0" w:color="auto"/>
                  </w:divBdr>
                  <w:divsChild>
                    <w:div w:id="103870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949355">
          <w:marLeft w:val="0"/>
          <w:marRight w:val="0"/>
          <w:marTop w:val="0"/>
          <w:marBottom w:val="0"/>
          <w:divBdr>
            <w:top w:val="none" w:sz="0" w:space="0" w:color="auto"/>
            <w:left w:val="none" w:sz="0" w:space="0" w:color="auto"/>
            <w:bottom w:val="none" w:sz="0" w:space="0" w:color="auto"/>
            <w:right w:val="none" w:sz="0" w:space="0" w:color="auto"/>
          </w:divBdr>
          <w:divsChild>
            <w:div w:id="96490580">
              <w:marLeft w:val="0"/>
              <w:marRight w:val="0"/>
              <w:marTop w:val="0"/>
              <w:marBottom w:val="0"/>
              <w:divBdr>
                <w:top w:val="none" w:sz="0" w:space="0" w:color="auto"/>
                <w:left w:val="none" w:sz="0" w:space="0" w:color="auto"/>
                <w:bottom w:val="none" w:sz="0" w:space="0" w:color="auto"/>
                <w:right w:val="none" w:sz="0" w:space="0" w:color="auto"/>
              </w:divBdr>
              <w:divsChild>
                <w:div w:id="601035684">
                  <w:marLeft w:val="0"/>
                  <w:marRight w:val="0"/>
                  <w:marTop w:val="0"/>
                  <w:marBottom w:val="0"/>
                  <w:divBdr>
                    <w:top w:val="none" w:sz="0" w:space="0" w:color="auto"/>
                    <w:left w:val="none" w:sz="0" w:space="0" w:color="auto"/>
                    <w:bottom w:val="none" w:sz="0" w:space="0" w:color="auto"/>
                    <w:right w:val="none" w:sz="0" w:space="0" w:color="auto"/>
                  </w:divBdr>
                  <w:divsChild>
                    <w:div w:id="123970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14554">
          <w:marLeft w:val="0"/>
          <w:marRight w:val="0"/>
          <w:marTop w:val="0"/>
          <w:marBottom w:val="0"/>
          <w:divBdr>
            <w:top w:val="none" w:sz="0" w:space="0" w:color="auto"/>
            <w:left w:val="none" w:sz="0" w:space="0" w:color="auto"/>
            <w:bottom w:val="none" w:sz="0" w:space="0" w:color="auto"/>
            <w:right w:val="none" w:sz="0" w:space="0" w:color="auto"/>
          </w:divBdr>
          <w:divsChild>
            <w:div w:id="1013339209">
              <w:marLeft w:val="0"/>
              <w:marRight w:val="0"/>
              <w:marTop w:val="0"/>
              <w:marBottom w:val="0"/>
              <w:divBdr>
                <w:top w:val="none" w:sz="0" w:space="0" w:color="auto"/>
                <w:left w:val="none" w:sz="0" w:space="0" w:color="auto"/>
                <w:bottom w:val="none" w:sz="0" w:space="0" w:color="auto"/>
                <w:right w:val="none" w:sz="0" w:space="0" w:color="auto"/>
              </w:divBdr>
              <w:divsChild>
                <w:div w:id="1996254317">
                  <w:marLeft w:val="0"/>
                  <w:marRight w:val="0"/>
                  <w:marTop w:val="0"/>
                  <w:marBottom w:val="0"/>
                  <w:divBdr>
                    <w:top w:val="none" w:sz="0" w:space="0" w:color="auto"/>
                    <w:left w:val="none" w:sz="0" w:space="0" w:color="auto"/>
                    <w:bottom w:val="none" w:sz="0" w:space="0" w:color="auto"/>
                    <w:right w:val="none" w:sz="0" w:space="0" w:color="auto"/>
                  </w:divBdr>
                  <w:divsChild>
                    <w:div w:id="19793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343961">
          <w:marLeft w:val="0"/>
          <w:marRight w:val="0"/>
          <w:marTop w:val="0"/>
          <w:marBottom w:val="0"/>
          <w:divBdr>
            <w:top w:val="none" w:sz="0" w:space="0" w:color="auto"/>
            <w:left w:val="none" w:sz="0" w:space="0" w:color="auto"/>
            <w:bottom w:val="none" w:sz="0" w:space="0" w:color="auto"/>
            <w:right w:val="none" w:sz="0" w:space="0" w:color="auto"/>
          </w:divBdr>
          <w:divsChild>
            <w:div w:id="184638687">
              <w:marLeft w:val="0"/>
              <w:marRight w:val="0"/>
              <w:marTop w:val="0"/>
              <w:marBottom w:val="0"/>
              <w:divBdr>
                <w:top w:val="none" w:sz="0" w:space="0" w:color="auto"/>
                <w:left w:val="none" w:sz="0" w:space="0" w:color="auto"/>
                <w:bottom w:val="none" w:sz="0" w:space="0" w:color="auto"/>
                <w:right w:val="none" w:sz="0" w:space="0" w:color="auto"/>
              </w:divBdr>
              <w:divsChild>
                <w:div w:id="823862395">
                  <w:marLeft w:val="0"/>
                  <w:marRight w:val="0"/>
                  <w:marTop w:val="0"/>
                  <w:marBottom w:val="0"/>
                  <w:divBdr>
                    <w:top w:val="none" w:sz="0" w:space="0" w:color="auto"/>
                    <w:left w:val="none" w:sz="0" w:space="0" w:color="auto"/>
                    <w:bottom w:val="none" w:sz="0" w:space="0" w:color="auto"/>
                    <w:right w:val="none" w:sz="0" w:space="0" w:color="auto"/>
                  </w:divBdr>
                  <w:divsChild>
                    <w:div w:id="83907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321558">
          <w:marLeft w:val="0"/>
          <w:marRight w:val="0"/>
          <w:marTop w:val="0"/>
          <w:marBottom w:val="0"/>
          <w:divBdr>
            <w:top w:val="none" w:sz="0" w:space="0" w:color="auto"/>
            <w:left w:val="none" w:sz="0" w:space="0" w:color="auto"/>
            <w:bottom w:val="none" w:sz="0" w:space="0" w:color="auto"/>
            <w:right w:val="none" w:sz="0" w:space="0" w:color="auto"/>
          </w:divBdr>
          <w:divsChild>
            <w:div w:id="1619526810">
              <w:marLeft w:val="0"/>
              <w:marRight w:val="0"/>
              <w:marTop w:val="0"/>
              <w:marBottom w:val="0"/>
              <w:divBdr>
                <w:top w:val="none" w:sz="0" w:space="0" w:color="auto"/>
                <w:left w:val="none" w:sz="0" w:space="0" w:color="auto"/>
                <w:bottom w:val="none" w:sz="0" w:space="0" w:color="auto"/>
                <w:right w:val="none" w:sz="0" w:space="0" w:color="auto"/>
              </w:divBdr>
              <w:divsChild>
                <w:div w:id="1778937813">
                  <w:marLeft w:val="0"/>
                  <w:marRight w:val="0"/>
                  <w:marTop w:val="0"/>
                  <w:marBottom w:val="0"/>
                  <w:divBdr>
                    <w:top w:val="none" w:sz="0" w:space="0" w:color="auto"/>
                    <w:left w:val="none" w:sz="0" w:space="0" w:color="auto"/>
                    <w:bottom w:val="none" w:sz="0" w:space="0" w:color="auto"/>
                    <w:right w:val="none" w:sz="0" w:space="0" w:color="auto"/>
                  </w:divBdr>
                  <w:divsChild>
                    <w:div w:id="101399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921490">
          <w:marLeft w:val="0"/>
          <w:marRight w:val="0"/>
          <w:marTop w:val="0"/>
          <w:marBottom w:val="0"/>
          <w:divBdr>
            <w:top w:val="none" w:sz="0" w:space="0" w:color="auto"/>
            <w:left w:val="none" w:sz="0" w:space="0" w:color="auto"/>
            <w:bottom w:val="none" w:sz="0" w:space="0" w:color="auto"/>
            <w:right w:val="none" w:sz="0" w:space="0" w:color="auto"/>
          </w:divBdr>
          <w:divsChild>
            <w:div w:id="327179270">
              <w:marLeft w:val="0"/>
              <w:marRight w:val="0"/>
              <w:marTop w:val="0"/>
              <w:marBottom w:val="0"/>
              <w:divBdr>
                <w:top w:val="none" w:sz="0" w:space="0" w:color="auto"/>
                <w:left w:val="none" w:sz="0" w:space="0" w:color="auto"/>
                <w:bottom w:val="none" w:sz="0" w:space="0" w:color="auto"/>
                <w:right w:val="none" w:sz="0" w:space="0" w:color="auto"/>
              </w:divBdr>
              <w:divsChild>
                <w:div w:id="1837575138">
                  <w:marLeft w:val="0"/>
                  <w:marRight w:val="0"/>
                  <w:marTop w:val="0"/>
                  <w:marBottom w:val="0"/>
                  <w:divBdr>
                    <w:top w:val="none" w:sz="0" w:space="0" w:color="auto"/>
                    <w:left w:val="none" w:sz="0" w:space="0" w:color="auto"/>
                    <w:bottom w:val="none" w:sz="0" w:space="0" w:color="auto"/>
                    <w:right w:val="none" w:sz="0" w:space="0" w:color="auto"/>
                  </w:divBdr>
                  <w:divsChild>
                    <w:div w:id="190162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12920">
          <w:marLeft w:val="0"/>
          <w:marRight w:val="0"/>
          <w:marTop w:val="0"/>
          <w:marBottom w:val="0"/>
          <w:divBdr>
            <w:top w:val="none" w:sz="0" w:space="0" w:color="auto"/>
            <w:left w:val="none" w:sz="0" w:space="0" w:color="auto"/>
            <w:bottom w:val="none" w:sz="0" w:space="0" w:color="auto"/>
            <w:right w:val="none" w:sz="0" w:space="0" w:color="auto"/>
          </w:divBdr>
          <w:divsChild>
            <w:div w:id="2114980294">
              <w:marLeft w:val="0"/>
              <w:marRight w:val="0"/>
              <w:marTop w:val="0"/>
              <w:marBottom w:val="0"/>
              <w:divBdr>
                <w:top w:val="none" w:sz="0" w:space="0" w:color="auto"/>
                <w:left w:val="none" w:sz="0" w:space="0" w:color="auto"/>
                <w:bottom w:val="none" w:sz="0" w:space="0" w:color="auto"/>
                <w:right w:val="none" w:sz="0" w:space="0" w:color="auto"/>
              </w:divBdr>
              <w:divsChild>
                <w:div w:id="1199243424">
                  <w:marLeft w:val="0"/>
                  <w:marRight w:val="0"/>
                  <w:marTop w:val="0"/>
                  <w:marBottom w:val="0"/>
                  <w:divBdr>
                    <w:top w:val="none" w:sz="0" w:space="0" w:color="auto"/>
                    <w:left w:val="none" w:sz="0" w:space="0" w:color="auto"/>
                    <w:bottom w:val="none" w:sz="0" w:space="0" w:color="auto"/>
                    <w:right w:val="none" w:sz="0" w:space="0" w:color="auto"/>
                  </w:divBdr>
                  <w:divsChild>
                    <w:div w:id="210753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464205">
          <w:marLeft w:val="0"/>
          <w:marRight w:val="0"/>
          <w:marTop w:val="0"/>
          <w:marBottom w:val="0"/>
          <w:divBdr>
            <w:top w:val="none" w:sz="0" w:space="0" w:color="auto"/>
            <w:left w:val="none" w:sz="0" w:space="0" w:color="auto"/>
            <w:bottom w:val="none" w:sz="0" w:space="0" w:color="auto"/>
            <w:right w:val="none" w:sz="0" w:space="0" w:color="auto"/>
          </w:divBdr>
          <w:divsChild>
            <w:div w:id="1963342440">
              <w:marLeft w:val="0"/>
              <w:marRight w:val="0"/>
              <w:marTop w:val="0"/>
              <w:marBottom w:val="0"/>
              <w:divBdr>
                <w:top w:val="none" w:sz="0" w:space="0" w:color="auto"/>
                <w:left w:val="none" w:sz="0" w:space="0" w:color="auto"/>
                <w:bottom w:val="none" w:sz="0" w:space="0" w:color="auto"/>
                <w:right w:val="none" w:sz="0" w:space="0" w:color="auto"/>
              </w:divBdr>
              <w:divsChild>
                <w:div w:id="327830223">
                  <w:marLeft w:val="0"/>
                  <w:marRight w:val="0"/>
                  <w:marTop w:val="0"/>
                  <w:marBottom w:val="0"/>
                  <w:divBdr>
                    <w:top w:val="none" w:sz="0" w:space="0" w:color="auto"/>
                    <w:left w:val="none" w:sz="0" w:space="0" w:color="auto"/>
                    <w:bottom w:val="none" w:sz="0" w:space="0" w:color="auto"/>
                    <w:right w:val="none" w:sz="0" w:space="0" w:color="auto"/>
                  </w:divBdr>
                  <w:divsChild>
                    <w:div w:id="2923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350715">
      <w:bodyDiv w:val="1"/>
      <w:marLeft w:val="0"/>
      <w:marRight w:val="0"/>
      <w:marTop w:val="0"/>
      <w:marBottom w:val="0"/>
      <w:divBdr>
        <w:top w:val="none" w:sz="0" w:space="0" w:color="auto"/>
        <w:left w:val="none" w:sz="0" w:space="0" w:color="auto"/>
        <w:bottom w:val="none" w:sz="0" w:space="0" w:color="auto"/>
        <w:right w:val="none" w:sz="0" w:space="0" w:color="auto"/>
      </w:divBdr>
      <w:divsChild>
        <w:div w:id="32198229">
          <w:marLeft w:val="0"/>
          <w:marRight w:val="0"/>
          <w:marTop w:val="0"/>
          <w:marBottom w:val="0"/>
          <w:divBdr>
            <w:top w:val="none" w:sz="0" w:space="0" w:color="auto"/>
            <w:left w:val="none" w:sz="0" w:space="0" w:color="auto"/>
            <w:bottom w:val="none" w:sz="0" w:space="0" w:color="auto"/>
            <w:right w:val="none" w:sz="0" w:space="0" w:color="auto"/>
          </w:divBdr>
          <w:divsChild>
            <w:div w:id="1074545555">
              <w:marLeft w:val="0"/>
              <w:marRight w:val="0"/>
              <w:marTop w:val="0"/>
              <w:marBottom w:val="0"/>
              <w:divBdr>
                <w:top w:val="none" w:sz="0" w:space="0" w:color="auto"/>
                <w:left w:val="none" w:sz="0" w:space="0" w:color="auto"/>
                <w:bottom w:val="none" w:sz="0" w:space="0" w:color="auto"/>
                <w:right w:val="none" w:sz="0" w:space="0" w:color="auto"/>
              </w:divBdr>
              <w:divsChild>
                <w:div w:id="757561944">
                  <w:marLeft w:val="0"/>
                  <w:marRight w:val="0"/>
                  <w:marTop w:val="0"/>
                  <w:marBottom w:val="0"/>
                  <w:divBdr>
                    <w:top w:val="none" w:sz="0" w:space="0" w:color="auto"/>
                    <w:left w:val="none" w:sz="0" w:space="0" w:color="auto"/>
                    <w:bottom w:val="none" w:sz="0" w:space="0" w:color="auto"/>
                    <w:right w:val="none" w:sz="0" w:space="0" w:color="auto"/>
                  </w:divBdr>
                  <w:divsChild>
                    <w:div w:id="163783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20025">
          <w:marLeft w:val="0"/>
          <w:marRight w:val="0"/>
          <w:marTop w:val="0"/>
          <w:marBottom w:val="0"/>
          <w:divBdr>
            <w:top w:val="none" w:sz="0" w:space="0" w:color="auto"/>
            <w:left w:val="none" w:sz="0" w:space="0" w:color="auto"/>
            <w:bottom w:val="none" w:sz="0" w:space="0" w:color="auto"/>
            <w:right w:val="none" w:sz="0" w:space="0" w:color="auto"/>
          </w:divBdr>
          <w:divsChild>
            <w:div w:id="1064067802">
              <w:marLeft w:val="0"/>
              <w:marRight w:val="0"/>
              <w:marTop w:val="0"/>
              <w:marBottom w:val="0"/>
              <w:divBdr>
                <w:top w:val="none" w:sz="0" w:space="0" w:color="auto"/>
                <w:left w:val="none" w:sz="0" w:space="0" w:color="auto"/>
                <w:bottom w:val="none" w:sz="0" w:space="0" w:color="auto"/>
                <w:right w:val="none" w:sz="0" w:space="0" w:color="auto"/>
              </w:divBdr>
              <w:divsChild>
                <w:div w:id="1236470403">
                  <w:marLeft w:val="0"/>
                  <w:marRight w:val="0"/>
                  <w:marTop w:val="0"/>
                  <w:marBottom w:val="0"/>
                  <w:divBdr>
                    <w:top w:val="none" w:sz="0" w:space="0" w:color="auto"/>
                    <w:left w:val="none" w:sz="0" w:space="0" w:color="auto"/>
                    <w:bottom w:val="none" w:sz="0" w:space="0" w:color="auto"/>
                    <w:right w:val="none" w:sz="0" w:space="0" w:color="auto"/>
                  </w:divBdr>
                  <w:divsChild>
                    <w:div w:id="9826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20640">
          <w:marLeft w:val="0"/>
          <w:marRight w:val="0"/>
          <w:marTop w:val="0"/>
          <w:marBottom w:val="0"/>
          <w:divBdr>
            <w:top w:val="none" w:sz="0" w:space="0" w:color="auto"/>
            <w:left w:val="none" w:sz="0" w:space="0" w:color="auto"/>
            <w:bottom w:val="none" w:sz="0" w:space="0" w:color="auto"/>
            <w:right w:val="none" w:sz="0" w:space="0" w:color="auto"/>
          </w:divBdr>
          <w:divsChild>
            <w:div w:id="1863939050">
              <w:marLeft w:val="0"/>
              <w:marRight w:val="0"/>
              <w:marTop w:val="0"/>
              <w:marBottom w:val="0"/>
              <w:divBdr>
                <w:top w:val="none" w:sz="0" w:space="0" w:color="auto"/>
                <w:left w:val="none" w:sz="0" w:space="0" w:color="auto"/>
                <w:bottom w:val="none" w:sz="0" w:space="0" w:color="auto"/>
                <w:right w:val="none" w:sz="0" w:space="0" w:color="auto"/>
              </w:divBdr>
              <w:divsChild>
                <w:div w:id="1224298051">
                  <w:marLeft w:val="0"/>
                  <w:marRight w:val="0"/>
                  <w:marTop w:val="0"/>
                  <w:marBottom w:val="0"/>
                  <w:divBdr>
                    <w:top w:val="none" w:sz="0" w:space="0" w:color="auto"/>
                    <w:left w:val="none" w:sz="0" w:space="0" w:color="auto"/>
                    <w:bottom w:val="none" w:sz="0" w:space="0" w:color="auto"/>
                    <w:right w:val="none" w:sz="0" w:space="0" w:color="auto"/>
                  </w:divBdr>
                  <w:divsChild>
                    <w:div w:id="210641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27076">
          <w:marLeft w:val="0"/>
          <w:marRight w:val="0"/>
          <w:marTop w:val="0"/>
          <w:marBottom w:val="0"/>
          <w:divBdr>
            <w:top w:val="none" w:sz="0" w:space="0" w:color="auto"/>
            <w:left w:val="none" w:sz="0" w:space="0" w:color="auto"/>
            <w:bottom w:val="none" w:sz="0" w:space="0" w:color="auto"/>
            <w:right w:val="none" w:sz="0" w:space="0" w:color="auto"/>
          </w:divBdr>
          <w:divsChild>
            <w:div w:id="1474373061">
              <w:marLeft w:val="0"/>
              <w:marRight w:val="0"/>
              <w:marTop w:val="0"/>
              <w:marBottom w:val="0"/>
              <w:divBdr>
                <w:top w:val="none" w:sz="0" w:space="0" w:color="auto"/>
                <w:left w:val="none" w:sz="0" w:space="0" w:color="auto"/>
                <w:bottom w:val="none" w:sz="0" w:space="0" w:color="auto"/>
                <w:right w:val="none" w:sz="0" w:space="0" w:color="auto"/>
              </w:divBdr>
              <w:divsChild>
                <w:div w:id="462240114">
                  <w:marLeft w:val="0"/>
                  <w:marRight w:val="0"/>
                  <w:marTop w:val="0"/>
                  <w:marBottom w:val="0"/>
                  <w:divBdr>
                    <w:top w:val="none" w:sz="0" w:space="0" w:color="auto"/>
                    <w:left w:val="none" w:sz="0" w:space="0" w:color="auto"/>
                    <w:bottom w:val="none" w:sz="0" w:space="0" w:color="auto"/>
                    <w:right w:val="none" w:sz="0" w:space="0" w:color="auto"/>
                  </w:divBdr>
                  <w:divsChild>
                    <w:div w:id="46917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440009">
          <w:marLeft w:val="0"/>
          <w:marRight w:val="0"/>
          <w:marTop w:val="0"/>
          <w:marBottom w:val="0"/>
          <w:divBdr>
            <w:top w:val="none" w:sz="0" w:space="0" w:color="auto"/>
            <w:left w:val="none" w:sz="0" w:space="0" w:color="auto"/>
            <w:bottom w:val="none" w:sz="0" w:space="0" w:color="auto"/>
            <w:right w:val="none" w:sz="0" w:space="0" w:color="auto"/>
          </w:divBdr>
          <w:divsChild>
            <w:div w:id="2068910801">
              <w:marLeft w:val="0"/>
              <w:marRight w:val="0"/>
              <w:marTop w:val="0"/>
              <w:marBottom w:val="0"/>
              <w:divBdr>
                <w:top w:val="none" w:sz="0" w:space="0" w:color="auto"/>
                <w:left w:val="none" w:sz="0" w:space="0" w:color="auto"/>
                <w:bottom w:val="none" w:sz="0" w:space="0" w:color="auto"/>
                <w:right w:val="none" w:sz="0" w:space="0" w:color="auto"/>
              </w:divBdr>
              <w:divsChild>
                <w:div w:id="928737167">
                  <w:marLeft w:val="0"/>
                  <w:marRight w:val="0"/>
                  <w:marTop w:val="0"/>
                  <w:marBottom w:val="0"/>
                  <w:divBdr>
                    <w:top w:val="none" w:sz="0" w:space="0" w:color="auto"/>
                    <w:left w:val="none" w:sz="0" w:space="0" w:color="auto"/>
                    <w:bottom w:val="none" w:sz="0" w:space="0" w:color="auto"/>
                    <w:right w:val="none" w:sz="0" w:space="0" w:color="auto"/>
                  </w:divBdr>
                  <w:divsChild>
                    <w:div w:id="96465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679934">
          <w:marLeft w:val="0"/>
          <w:marRight w:val="0"/>
          <w:marTop w:val="0"/>
          <w:marBottom w:val="0"/>
          <w:divBdr>
            <w:top w:val="none" w:sz="0" w:space="0" w:color="auto"/>
            <w:left w:val="none" w:sz="0" w:space="0" w:color="auto"/>
            <w:bottom w:val="none" w:sz="0" w:space="0" w:color="auto"/>
            <w:right w:val="none" w:sz="0" w:space="0" w:color="auto"/>
          </w:divBdr>
          <w:divsChild>
            <w:div w:id="108474788">
              <w:marLeft w:val="0"/>
              <w:marRight w:val="0"/>
              <w:marTop w:val="0"/>
              <w:marBottom w:val="0"/>
              <w:divBdr>
                <w:top w:val="none" w:sz="0" w:space="0" w:color="auto"/>
                <w:left w:val="none" w:sz="0" w:space="0" w:color="auto"/>
                <w:bottom w:val="none" w:sz="0" w:space="0" w:color="auto"/>
                <w:right w:val="none" w:sz="0" w:space="0" w:color="auto"/>
              </w:divBdr>
              <w:divsChild>
                <w:div w:id="1660692363">
                  <w:marLeft w:val="0"/>
                  <w:marRight w:val="0"/>
                  <w:marTop w:val="0"/>
                  <w:marBottom w:val="0"/>
                  <w:divBdr>
                    <w:top w:val="none" w:sz="0" w:space="0" w:color="auto"/>
                    <w:left w:val="none" w:sz="0" w:space="0" w:color="auto"/>
                    <w:bottom w:val="none" w:sz="0" w:space="0" w:color="auto"/>
                    <w:right w:val="none" w:sz="0" w:space="0" w:color="auto"/>
                  </w:divBdr>
                  <w:divsChild>
                    <w:div w:id="1912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90914">
          <w:marLeft w:val="0"/>
          <w:marRight w:val="0"/>
          <w:marTop w:val="0"/>
          <w:marBottom w:val="0"/>
          <w:divBdr>
            <w:top w:val="none" w:sz="0" w:space="0" w:color="auto"/>
            <w:left w:val="none" w:sz="0" w:space="0" w:color="auto"/>
            <w:bottom w:val="none" w:sz="0" w:space="0" w:color="auto"/>
            <w:right w:val="none" w:sz="0" w:space="0" w:color="auto"/>
          </w:divBdr>
          <w:divsChild>
            <w:div w:id="755712508">
              <w:marLeft w:val="0"/>
              <w:marRight w:val="0"/>
              <w:marTop w:val="0"/>
              <w:marBottom w:val="0"/>
              <w:divBdr>
                <w:top w:val="none" w:sz="0" w:space="0" w:color="auto"/>
                <w:left w:val="none" w:sz="0" w:space="0" w:color="auto"/>
                <w:bottom w:val="none" w:sz="0" w:space="0" w:color="auto"/>
                <w:right w:val="none" w:sz="0" w:space="0" w:color="auto"/>
              </w:divBdr>
              <w:divsChild>
                <w:div w:id="1640064538">
                  <w:marLeft w:val="0"/>
                  <w:marRight w:val="0"/>
                  <w:marTop w:val="0"/>
                  <w:marBottom w:val="0"/>
                  <w:divBdr>
                    <w:top w:val="none" w:sz="0" w:space="0" w:color="auto"/>
                    <w:left w:val="none" w:sz="0" w:space="0" w:color="auto"/>
                    <w:bottom w:val="none" w:sz="0" w:space="0" w:color="auto"/>
                    <w:right w:val="none" w:sz="0" w:space="0" w:color="auto"/>
                  </w:divBdr>
                  <w:divsChild>
                    <w:div w:id="140714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671196">
          <w:marLeft w:val="0"/>
          <w:marRight w:val="0"/>
          <w:marTop w:val="0"/>
          <w:marBottom w:val="0"/>
          <w:divBdr>
            <w:top w:val="none" w:sz="0" w:space="0" w:color="auto"/>
            <w:left w:val="none" w:sz="0" w:space="0" w:color="auto"/>
            <w:bottom w:val="none" w:sz="0" w:space="0" w:color="auto"/>
            <w:right w:val="none" w:sz="0" w:space="0" w:color="auto"/>
          </w:divBdr>
          <w:divsChild>
            <w:div w:id="1911620242">
              <w:marLeft w:val="0"/>
              <w:marRight w:val="0"/>
              <w:marTop w:val="0"/>
              <w:marBottom w:val="0"/>
              <w:divBdr>
                <w:top w:val="none" w:sz="0" w:space="0" w:color="auto"/>
                <w:left w:val="none" w:sz="0" w:space="0" w:color="auto"/>
                <w:bottom w:val="none" w:sz="0" w:space="0" w:color="auto"/>
                <w:right w:val="none" w:sz="0" w:space="0" w:color="auto"/>
              </w:divBdr>
              <w:divsChild>
                <w:div w:id="231694823">
                  <w:marLeft w:val="0"/>
                  <w:marRight w:val="0"/>
                  <w:marTop w:val="0"/>
                  <w:marBottom w:val="0"/>
                  <w:divBdr>
                    <w:top w:val="none" w:sz="0" w:space="0" w:color="auto"/>
                    <w:left w:val="none" w:sz="0" w:space="0" w:color="auto"/>
                    <w:bottom w:val="none" w:sz="0" w:space="0" w:color="auto"/>
                    <w:right w:val="none" w:sz="0" w:space="0" w:color="auto"/>
                  </w:divBdr>
                  <w:divsChild>
                    <w:div w:id="143636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702448">
          <w:marLeft w:val="0"/>
          <w:marRight w:val="0"/>
          <w:marTop w:val="0"/>
          <w:marBottom w:val="0"/>
          <w:divBdr>
            <w:top w:val="none" w:sz="0" w:space="0" w:color="auto"/>
            <w:left w:val="none" w:sz="0" w:space="0" w:color="auto"/>
            <w:bottom w:val="none" w:sz="0" w:space="0" w:color="auto"/>
            <w:right w:val="none" w:sz="0" w:space="0" w:color="auto"/>
          </w:divBdr>
          <w:divsChild>
            <w:div w:id="901595059">
              <w:marLeft w:val="0"/>
              <w:marRight w:val="0"/>
              <w:marTop w:val="0"/>
              <w:marBottom w:val="0"/>
              <w:divBdr>
                <w:top w:val="none" w:sz="0" w:space="0" w:color="auto"/>
                <w:left w:val="none" w:sz="0" w:space="0" w:color="auto"/>
                <w:bottom w:val="none" w:sz="0" w:space="0" w:color="auto"/>
                <w:right w:val="none" w:sz="0" w:space="0" w:color="auto"/>
              </w:divBdr>
              <w:divsChild>
                <w:div w:id="975181817">
                  <w:marLeft w:val="0"/>
                  <w:marRight w:val="0"/>
                  <w:marTop w:val="0"/>
                  <w:marBottom w:val="0"/>
                  <w:divBdr>
                    <w:top w:val="none" w:sz="0" w:space="0" w:color="auto"/>
                    <w:left w:val="none" w:sz="0" w:space="0" w:color="auto"/>
                    <w:bottom w:val="none" w:sz="0" w:space="0" w:color="auto"/>
                    <w:right w:val="none" w:sz="0" w:space="0" w:color="auto"/>
                  </w:divBdr>
                  <w:divsChild>
                    <w:div w:id="9145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1027</Words>
  <Characters>5859</Characters>
  <Application>Microsoft Office Word</Application>
  <DocSecurity>0</DocSecurity>
  <Lines>48</Lines>
  <Paragraphs>13</Paragraphs>
  <ScaleCrop>false</ScaleCrop>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Fotheringham</dc:creator>
  <cp:keywords/>
  <dc:description/>
  <cp:lastModifiedBy>Kevin Fotheringham</cp:lastModifiedBy>
  <cp:revision>2</cp:revision>
  <dcterms:created xsi:type="dcterms:W3CDTF">2026-08-21T13:43:00Z</dcterms:created>
  <dcterms:modified xsi:type="dcterms:W3CDTF">2026-08-21T13:44:00Z</dcterms:modified>
</cp:coreProperties>
</file>