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232" w14:textId="77777777" w:rsidR="00D306A0" w:rsidRPr="00D306A0" w:rsidRDefault="00D306A0" w:rsidP="00D306A0">
      <w:r w:rsidRPr="00D306A0">
        <w:rPr>
          <w:b/>
          <w:bCs/>
        </w:rPr>
        <w:t>Deliverables Checklist Installation / Upgrade of Renewable &amp; Net Zero Plant in a Hospital Aligned to RIBA Plan of Work 2020 &amp; relevant Standards</w:t>
      </w:r>
      <w:r w:rsidRPr="00D306A0"/>
      <w:r w:rsidRPr="00D306A0">
        <w:rPr>
          <w:b/>
          <w:bCs/>
        </w:rPr>
      </w:r>
      <w:r w:rsidRPr="00D306A0"/>
      <w:r w:rsidRPr="00D306A0">
        <w:rPr>
          <w:b/>
          <w:bCs/>
        </w:rPr>
      </w:r>
    </w:p>
    <w:p w14:paraId="5C0A4710" w14:textId="77777777" w:rsidR="00D306A0" w:rsidRPr="00D306A0" w:rsidRDefault="00D306A0" w:rsidP="00D306A0">
      <w:r w:rsidRPr="00D306A0">
        <w:t>This checklist follows the exact same format as the other Hard FM system checklists. It is intended for projects involving the installation, replacement or major upgrade of renewable and net zero energy plant in hospital premises (roof/ground-mounted solar PV, air/ground source heat pumps, battery energy storage systems (BESS), and EV charging infrastructure).</w:t>
      </w:r>
      <w:r w:rsidRPr="00D306A0">
        <w:rPr>
          <w:b/>
          <w:bCs/>
        </w:rPr>
      </w:r>
      <w:r w:rsidRPr="00D306A0"/>
    </w:p>
    <w:p w14:paraId="11552062" w14:textId="77777777" w:rsidR="00D306A0" w:rsidRPr="00D306A0" w:rsidRDefault="00D306A0" w:rsidP="00D306A0">
      <w:pPr>
        <w:rPr>
          <w:b/>
          <w:bCs/>
        </w:rPr>
      </w:pPr>
      <w:r w:rsidRPr="00D306A0">
        <w:rPr>
          <w:b/>
          <w:bCs/>
        </w:rPr>
        <w:t>Primary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D306A0" w:rsidRPr="00D306A0" w14:paraId="7540C3A9" w14:textId="77777777" w:rsidTr="00D306A0">
        <w:trPr>
          <w:tblHeader/>
          <w:tblCellSpacing w:w="15" w:type="dxa"/>
        </w:trPr>
        <w:tc>
          <w:tcPr>
            <w:tcW w:w="0" w:type="auto"/>
            <w:vAlign w:val="center"/>
            <w:hideMark/>
          </w:tcPr>
          <w:p w14:paraId="09C814D7" w14:textId="77777777" w:rsidR="00D306A0" w:rsidRPr="00D306A0" w:rsidRDefault="00D306A0" w:rsidP="00D306A0">
            <w:pPr>
              <w:rPr>
                <w:b/>
                <w:bCs/>
              </w:rPr>
            </w:pPr>
            <w:r w:rsidRPr="00D306A0">
              <w:rPr>
                <w:b/>
                <w:bCs/>
              </w:rPr>
              <w:t>System Element</w:t>
            </w:r>
          </w:p>
        </w:tc>
        <w:tc>
          <w:tcPr>
            <w:tcW w:w="0" w:type="auto"/>
            <w:vAlign w:val="center"/>
            <w:hideMark/>
          </w:tcPr>
          <w:p w14:paraId="5BD42949" w14:textId="77777777" w:rsidR="00D306A0" w:rsidRPr="00D306A0" w:rsidRDefault="00D306A0" w:rsidP="00D306A0">
            <w:pPr>
              <w:rPr>
                <w:b/>
                <w:bCs/>
              </w:rPr>
            </w:pPr>
            <w:r w:rsidRPr="00D306A0">
              <w:rPr>
                <w:b/>
                <w:bCs/>
              </w:rPr>
              <w:t>Key Guidance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Solar PV</w:t>
            </w:r>
          </w:p>
        </w:tc>
        <w:tc>
          <w:tcPr>
            <w:tcW w:w="0" w:type="auto"/>
            <w:vAlign w:val="center"/>
            <w:hideMark/>
          </w:tcPr>
          <w:p w14:paraId="0543408F" w14:textId="77777777" w:rsidR="00D306A0" w:rsidRPr="00D306A0" w:rsidRDefault="00D306A0" w:rsidP="00D306A0">
            <w:r w:rsidRPr="00D306A0">
              <w:t>MCS MIS 3002 (Solar PV Installation Standard, current edition) governs design and installation; grid connection via ENA Engineering Recommendation G98 (notify-after-install, up to 16A/phase) or G99 (approve-before-install, larger schemes) - G98/G99 replaced the older G83/G59 regimes in 2019.</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Heat Pumps (ASHP/GSHP)</w:t>
            </w:r>
          </w:p>
        </w:tc>
        <w:tc>
          <w:tcPr>
            <w:tcW w:w="0" w:type="auto"/>
            <w:vAlign w:val="center"/>
            <w:hideMark/>
          </w:tcPr>
          <w:p w14:paraId="0543408F" w14:textId="77777777" w:rsidR="00D306A0" w:rsidRPr="00D306A0" w:rsidRDefault="00D306A0" w:rsidP="00D306A0">
            <w:r w:rsidRPr="00D306A0">
              <w:t>MCS MIS 3005-D (Design) and MIS 3005-I (Installation) - the former combined MIS 3005 standard split into separate design/installation standards, mandatory for MCS contractors since 01/04/2022. Only systems up to 45kWth may be MCS-certified.</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Battery Energy Storage (BESS)</w:t>
            </w:r>
          </w:p>
        </w:tc>
        <w:tc>
          <w:tcPr>
            <w:tcW w:w="0" w:type="auto"/>
            <w:vAlign w:val="center"/>
            <w:hideMark/>
          </w:tcPr>
          <w:p w14:paraId="0543408F" w14:textId="77777777" w:rsidR="00D306A0" w:rsidRPr="00D306A0" w:rsidRDefault="00D306A0" w:rsidP="00D306A0">
            <w:r w:rsidRPr="00D306A0">
              <w:t>NFCC Grid Scale Battery Energy Storage System Planning guidance for fire and rescue services sets fire-safety and siting expectations (indicative minimum 25m separation from occupied buildings prior to any mitigation); a DSEAR risk assessment is required for the flammable off-gas/thermal-runaway hazard from lithium-ion cells, per HSE guidance - this is in addition to, not instead of, electrical safety compliance.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EV Charging Infrastructure</w:t>
            </w:r>
          </w:p>
        </w:tc>
        <w:tc>
          <w:tcPr>
            <w:tcW w:w="0" w:type="auto"/>
            <w:vAlign w:val="center"/>
            <w:hideMark/>
          </w:tcPr>
          <w:p w14:paraId="0543408F" w14:textId="77777777" w:rsidR="00D306A0" w:rsidRPr="00D306A0" w:rsidRDefault="00D306A0" w:rsidP="00D306A0">
            <w:r w:rsidRPr="00D306A0">
              <w:t>BS EN IEC 61851 (electric vehicle conductive charging system) and the IET Code of Practice for Electric Vehicle Charging Equipment Installation govern design and installation, including protective device selection and PME earthing considerations for open-access car parks.</w:t>
            </w:r>
          </w:p>
        </w:tc>
      </w:tr>
    </w:tbl>
    <w:p w14:paraId="2C25E8FC" w14:textId="77777777" w:rsidR="00D306A0" w:rsidRPr="00D306A0" w:rsidRDefault="00D306A0" w:rsidP="00D306A0">
      <w:r w:rsidRPr="00D306A0">
        <w:rPr>
          <w:b/>
          <w:bCs/>
        </w:rPr>
        <w:t>Key Principles</w:t>
      </w:r>
    </w:p>
    <w:p w14:paraId="4567CD1C" w14:textId="77777777" w:rsidR="00D306A0" w:rsidRPr="00D306A0" w:rsidRDefault="00D306A0" w:rsidP="00D306A0">
      <w:pPr>
        <w:numPr>
          <w:ilvl w:val="0"/>
          <w:numId w:val="1"/>
        </w:numPr>
      </w:pPr>
      <w:r w:rsidRPr="00D306A0">
        <w:t>A DNO grid-connection application (G98 for small-scale, G99 approve-before-install for larger schemes) must be submitted before any design is finalised - G99 approval timescales can materially affect programme and must be tracked as a critical-path item, not a late-stage formality.</w:t>
      </w:r>
    </w:p>
    <w:p w14:paraId="4567CD1C" w14:textId="77777777" w:rsidR="00D306A0" w:rsidRPr="00D306A0" w:rsidRDefault="00D306A0" w:rsidP="00D306A0">
      <w:pPr>
        <w:numPr>
          <w:ilvl w:val="0"/>
          <w:numId w:val="1"/>
        </w:numPr>
      </w:pPr>
      <w:r w:rsidRPr="00D306A0">
        <w:t>A BESS DSEAR risk assessment and fire strategy (informed by NFCC guidance) must be completed before siting is fixed - proximity to occupied wards, escape routes, fresh-air intakes and combustible materials is a real siting constraint, not a detail to resolve after layout is agreed.</w:t>
      </w:r>
    </w:p>
    <w:p w14:paraId="4567CD1C" w14:textId="77777777" w:rsidR="00D306A0" w:rsidRPr="00D306A0" w:rsidRDefault="00D306A0" w:rsidP="00D306A0">
      <w:pPr>
        <w:numPr>
          <w:ilvl w:val="0"/>
          <w:numId w:val="1"/>
        </w:numPr>
      </w:pPr>
      <w:r w:rsidRPr="00D306A0">
        <w:t>Any heat pump or solar retrofit must be checked against existing SHTM 03-01 ventilation/thermal-comfort requirements before design is committed - decarbonisation measures must not compromise clinical ventilation performance; see the separate energy/net-zero compliance assessment for the energy-gainshare and ventilation-conflict angle this checklist does not itself cover.</w:t>
      </w:r>
    </w:p>
    <w:p w14:paraId="4567CD1C" w14:textId="77777777" w:rsidR="00D306A0" w:rsidRPr="00D306A0" w:rsidRDefault="00D306A0" w:rsidP="00D306A0">
      <w:pPr>
        <w:numPr>
          <w:ilvl w:val="0"/>
          <w:numId w:val="1"/>
        </w:numPr>
      </w:pPr>
      <w:r w:rsidRPr="00D306A0">
        <w:t>Net zero deliverables should be tracked against the health board's own NHS Scotland Climate Emergency and Sustainability Strategy: 2022-2026 carbon-reduction trajectory (net zero estate emissions targeted by 2040, 70% reduction by 2030, supply-chain net zero by 2045), not treated as a standalone environmental add-on disconnected from the wider estate strategy.</w:t>
      </w:r>
    </w:p>
    <w:p w14:paraId="4567CD1C" w14:textId="77777777" w:rsidR="00D306A0" w:rsidRPr="00D306A0" w:rsidRDefault="00D306A0" w:rsidP="00D306A0">
      <w:pPr>
        <w:numPr>
          <w:ilvl w:val="0"/>
          <w:numId w:val="1"/>
        </w:numPr>
      </w:pPr>
      <w:r w:rsidRPr="00D306A0">
        <w:t>Continuity of clinical electrical resilience must be maintained throughout any works interfacing with the existing standby power/UPS system - see Electrical Services Replacement for generator/UPS/switchgear interface deliverables; this checklist does not duplicate that scope.</w:t>
      </w:r>
    </w:p>
    <w:p w14:paraId="55DD57F8" w14:textId="77777777" w:rsidR="00D306A0" w:rsidRPr="00D306A0" w:rsidRDefault="00D306A0" w:rsidP="00D306A0">
      <w:pPr>
        <w:rPr>
          <w:b/>
          <w:bCs/>
        </w:rPr>
      </w:pPr>
      <w:r w:rsidRPr="00D306A0">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6"/>
        <w:gridCol w:w="1498"/>
        <w:gridCol w:w="1382"/>
      </w:tblGrid>
      <w:tr w:rsidR="00D306A0" w:rsidRPr="00D306A0" w14:paraId="505E53FB" w14:textId="77777777" w:rsidTr="00D306A0">
        <w:trPr>
          <w:tblHeader/>
          <w:tblCellSpacing w:w="15" w:type="dxa"/>
        </w:trPr>
        <w:tc>
          <w:tcPr>
            <w:tcW w:w="0" w:type="auto"/>
            <w:vAlign w:val="center"/>
            <w:hideMark/>
          </w:tcPr>
          <w:p w14:paraId="2784ACDF" w14:textId="77777777" w:rsidR="00D306A0" w:rsidRPr="00D306A0" w:rsidRDefault="00D306A0" w:rsidP="00D306A0">
            <w:pPr>
              <w:rPr>
                <w:b/>
                <w:bCs/>
              </w:rPr>
            </w:pPr>
            <w:r w:rsidRPr="00D306A0">
              <w:rPr>
                <w:b/>
                <w:bCs/>
              </w:rPr>
              <w:lastRenderedPageBreak/>
              <w:t>Deliverable</w:t>
            </w:r>
          </w:p>
        </w:tc>
        <w:tc>
          <w:tcPr>
            <w:tcW w:w="0" w:type="auto"/>
            <w:vAlign w:val="center"/>
            <w:hideMark/>
          </w:tcPr>
          <w:p w14:paraId="27E8B071" w14:textId="77777777" w:rsidR="00D306A0" w:rsidRPr="00D306A0" w:rsidRDefault="00D306A0" w:rsidP="00D306A0">
            <w:pPr>
              <w:rPr>
                <w:b/>
                <w:bCs/>
              </w:rPr>
            </w:pPr>
            <w:r w:rsidRPr="00D306A0">
              <w:rPr>
                <w:b/>
                <w:bCs/>
              </w:rPr>
              <w:t>Status / Evidence</w:t>
            </w:r>
          </w:p>
        </w:tc>
        <w:tc>
          <w:tcPr>
            <w:tcW w:w="0" w:type="auto"/>
            <w:vAlign w:val="center"/>
            <w:hideMark/>
          </w:tcPr>
          <w:p w14:paraId="24C5B931" w14:textId="77777777" w:rsidR="00D306A0" w:rsidRPr="00D306A0" w:rsidRDefault="00D306A0" w:rsidP="00D306A0">
            <w:pPr>
              <w:rPr>
                <w:b/>
                <w:bCs/>
              </w:rPr>
            </w:pPr>
            <w:r w:rsidRPr="00D306A0">
              <w:rPr>
                <w:b/>
                <w:bCs/>
              </w:rPr>
              <w:t>Relevant Notes</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Business case / need identification (existing energy performance baseline, carbon-reduction target, plant condition)</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NHS Scotland Climate Emergency and Sustainability Strategy: 2022-2026</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Initial stakeholder map, including Estates, Energy Manager and Finance</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Preliminary roof-loading / land-availability feasibility check (solar PV, ASHP siting)</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Preliminary DNO capacity enquiry (headroom check ahead of a full G98/G99 application)</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ENA G98/G99</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Expanded risk register</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 CDM 2015</w:t>
            </w:r>
          </w:p>
        </w:tc>
      </w:tr>
    </w:tbl>
    <w:p w14:paraId="258D082C" w14:textId="77777777" w:rsidR="00D306A0" w:rsidRPr="00D306A0" w:rsidRDefault="00D306A0" w:rsidP="00D306A0">
      <w:pPr>
        <w:rPr>
          <w:b/>
          <w:bCs/>
        </w:rPr>
      </w:pPr>
      <w:r w:rsidRPr="00D306A0">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7"/>
        <w:gridCol w:w="1473"/>
        <w:gridCol w:w="1836"/>
      </w:tblGrid>
      <w:tr w:rsidR="00D306A0" w:rsidRPr="00D306A0" w14:paraId="4B116813" w14:textId="77777777" w:rsidTr="00D306A0">
        <w:trPr>
          <w:tblHeader/>
          <w:tblCellSpacing w:w="15" w:type="dxa"/>
        </w:trPr>
        <w:tc>
          <w:tcPr>
            <w:tcW w:w="0" w:type="auto"/>
            <w:vAlign w:val="center"/>
            <w:hideMark/>
          </w:tcPr>
          <w:p w14:paraId="2E7F3D80" w14:textId="77777777" w:rsidR="00D306A0" w:rsidRPr="00D306A0" w:rsidRDefault="00D306A0" w:rsidP="00D306A0">
            <w:pPr>
              <w:rPr>
                <w:b/>
                <w:bCs/>
              </w:rPr>
            </w:pPr>
            <w:r w:rsidRPr="00D306A0">
              <w:rPr>
                <w:b/>
                <w:bCs/>
              </w:rPr>
              <w:t>Deliverable</w:t>
            </w:r>
          </w:p>
        </w:tc>
        <w:tc>
          <w:tcPr>
            <w:tcW w:w="0" w:type="auto"/>
            <w:vAlign w:val="center"/>
            <w:hideMark/>
          </w:tcPr>
          <w:p w14:paraId="62673635" w14:textId="77777777" w:rsidR="00D306A0" w:rsidRPr="00D306A0" w:rsidRDefault="00D306A0" w:rsidP="00D306A0">
            <w:pPr>
              <w:rPr>
                <w:b/>
                <w:bCs/>
              </w:rPr>
            </w:pPr>
            <w:r w:rsidRPr="00D306A0">
              <w:rPr>
                <w:b/>
                <w:bCs/>
              </w:rPr>
              <w:t>Status / Evidence</w:t>
            </w:r>
          </w:p>
        </w:tc>
        <w:tc>
          <w:tcPr>
            <w:tcW w:w="0" w:type="auto"/>
            <w:vAlign w:val="center"/>
            <w:hideMark/>
          </w:tcPr>
          <w:p w14:paraId="2C977FDF" w14:textId="77777777" w:rsidR="00D306A0" w:rsidRPr="00D306A0" w:rsidRDefault="00D306A0" w:rsidP="00D306A0">
            <w:pPr>
              <w:rPr>
                <w:b/>
                <w:bCs/>
              </w:rPr>
            </w:pPr>
            <w:r w:rsidRPr="00D306A0">
              <w:rPr>
                <w:b/>
                <w:bCs/>
              </w:rPr>
              <w:t>Relevant Notes</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Brief (scope: PV capacity, heat pump type/capacity, BESS capacity, EV charging point count)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Existing system condition surveys (roof condition, existing boiler/plant interface, electrical infrastructure capacity)</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Formal DNO pre-application enquiry submitted</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ENA G98/G99</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Site-specific fire risk and DSEAR scoping for any proposed BESS</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DSEAR, NFCC guidance</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Engagement with Fire Safety Advisor and Energy Manager</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Sustainability/net zero benefits case aligned to the NHS Scotland Climate Emergency and Sustainability Strategy: 2022-2026</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bl>
    <w:p w14:paraId="7368B024" w14:textId="77777777" w:rsidR="00D306A0" w:rsidRPr="00D306A0" w:rsidRDefault="00D306A0" w:rsidP="00D306A0">
      <w:pPr>
        <w:rPr>
          <w:b/>
          <w:bCs/>
        </w:rPr>
      </w:pPr>
      <w:r w:rsidRPr="00D306A0">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7"/>
        <w:gridCol w:w="1488"/>
        <w:gridCol w:w="1871"/>
      </w:tblGrid>
      <w:tr w:rsidR="00D306A0" w:rsidRPr="00D306A0" w14:paraId="0C573E9A" w14:textId="77777777" w:rsidTr="00D306A0">
        <w:trPr>
          <w:tblHeader/>
          <w:tblCellSpacing w:w="15" w:type="dxa"/>
        </w:trPr>
        <w:tc>
          <w:tcPr>
            <w:tcW w:w="0" w:type="auto"/>
            <w:vAlign w:val="center"/>
            <w:hideMark/>
          </w:tcPr>
          <w:p w14:paraId="123A4553" w14:textId="77777777" w:rsidR="00D306A0" w:rsidRPr="00D306A0" w:rsidRDefault="00D306A0" w:rsidP="00D306A0">
            <w:pPr>
              <w:rPr>
                <w:b/>
                <w:bCs/>
              </w:rPr>
            </w:pPr>
            <w:r w:rsidRPr="00D306A0">
              <w:rPr>
                <w:b/>
                <w:bCs/>
              </w:rPr>
              <w:t>Deliverable</w:t>
            </w:r>
          </w:p>
        </w:tc>
        <w:tc>
          <w:tcPr>
            <w:tcW w:w="0" w:type="auto"/>
            <w:vAlign w:val="center"/>
            <w:hideMark/>
          </w:tcPr>
          <w:p w14:paraId="60823886" w14:textId="77777777" w:rsidR="00D306A0" w:rsidRPr="00D306A0" w:rsidRDefault="00D306A0" w:rsidP="00D306A0">
            <w:pPr>
              <w:rPr>
                <w:b/>
                <w:bCs/>
              </w:rPr>
            </w:pPr>
            <w:r w:rsidRPr="00D306A0">
              <w:rPr>
                <w:b/>
                <w:bCs/>
              </w:rPr>
              <w:t>Status / Evidence</w:t>
            </w:r>
          </w:p>
        </w:tc>
        <w:tc>
          <w:tcPr>
            <w:tcW w:w="0" w:type="auto"/>
            <w:vAlign w:val="center"/>
            <w:hideMark/>
          </w:tcPr>
          <w:p w14:paraId="7EBF4F6F" w14:textId="77777777" w:rsidR="00D306A0" w:rsidRPr="00D306A0" w:rsidRDefault="00D306A0" w:rsidP="00D306A0">
            <w:pPr>
              <w:rPr>
                <w:b/>
                <w:bCs/>
              </w:rPr>
            </w:pPr>
            <w:r w:rsidRPr="00D306A0">
              <w:rPr>
                <w:b/>
                <w:bCs/>
              </w:rPr>
              <w:t>Relevant Notes</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Concept design options (PV array layout/orientation, heat pump type ASHP vs GSHP, BESS chemistry and capacity)</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MIS 3002, MIS 3005-D</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grid-connection strategy and indicative G98/G99 route</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ENA G98/G99</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BESS siting and separation-distance assessment</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NFCC guidance</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Structural feasibility for roof-mounted PV / heat pump plant loading</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bl>
    <w:p w14:paraId="1E566B14" w14:textId="77777777" w:rsidR="00D306A0" w:rsidRPr="00D306A0" w:rsidRDefault="00D306A0" w:rsidP="00D306A0">
      <w:pPr>
        <w:rPr>
          <w:b/>
          <w:bCs/>
        </w:rPr>
      </w:pPr>
      <w:r w:rsidRPr="00D306A0">
        <w:rPr>
          <w:b/>
          <w:bCs/>
        </w:rPr>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1"/>
        <w:gridCol w:w="1504"/>
        <w:gridCol w:w="1831"/>
      </w:tblGrid>
      <w:tr w:rsidR="00D306A0" w:rsidRPr="00D306A0" w14:paraId="03AAE6B6" w14:textId="77777777" w:rsidTr="00D306A0">
        <w:trPr>
          <w:tblHeader/>
          <w:tblCellSpacing w:w="15" w:type="dxa"/>
        </w:trPr>
        <w:tc>
          <w:tcPr>
            <w:tcW w:w="0" w:type="auto"/>
            <w:vAlign w:val="center"/>
            <w:hideMark/>
          </w:tcPr>
          <w:p w14:paraId="7456B03C" w14:textId="77777777" w:rsidR="00D306A0" w:rsidRPr="00D306A0" w:rsidRDefault="00D306A0" w:rsidP="00D306A0">
            <w:pPr>
              <w:rPr>
                <w:b/>
                <w:bCs/>
              </w:rPr>
            </w:pPr>
            <w:r w:rsidRPr="00D306A0">
              <w:rPr>
                <w:b/>
                <w:bCs/>
              </w:rPr>
              <w:t>Deliverable</w:t>
            </w:r>
          </w:p>
        </w:tc>
        <w:tc>
          <w:tcPr>
            <w:tcW w:w="0" w:type="auto"/>
            <w:vAlign w:val="center"/>
            <w:hideMark/>
          </w:tcPr>
          <w:p w14:paraId="3CB3E30F" w14:textId="77777777" w:rsidR="00D306A0" w:rsidRPr="00D306A0" w:rsidRDefault="00D306A0" w:rsidP="00D306A0">
            <w:pPr>
              <w:rPr>
                <w:b/>
                <w:bCs/>
              </w:rPr>
            </w:pPr>
            <w:r w:rsidRPr="00D306A0">
              <w:rPr>
                <w:b/>
                <w:bCs/>
              </w:rPr>
              <w:t>Status / Evidence</w:t>
            </w:r>
          </w:p>
        </w:tc>
        <w:tc>
          <w:tcPr>
            <w:tcW w:w="0" w:type="auto"/>
            <w:vAlign w:val="center"/>
            <w:hideMark/>
          </w:tcPr>
          <w:p w14:paraId="5C1A9AA1" w14:textId="77777777" w:rsidR="00D306A0" w:rsidRPr="00D306A0" w:rsidRDefault="00D306A0" w:rsidP="00D306A0">
            <w:pPr>
              <w:rPr>
                <w:b/>
                <w:bCs/>
              </w:rPr>
            </w:pPr>
            <w:r w:rsidRPr="00D306A0">
              <w:rPr>
                <w:b/>
                <w:bCs/>
              </w:rPr>
              <w:t>Relevant Notes</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Coordinated design (PV array layout, heat pump plant room/external unit location, BESS enclosure location, EV charge-point bay layout)</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Confirmed structural loading assessment (roof, plant room, ground-bearing for BESS enclosures)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Interfaces with existing electrical distribution, BMS and heating systems mapped</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Updated risk register</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bl>
    <w:p w14:paraId="375DC5C4" w14:textId="77777777" w:rsidR="00D306A0" w:rsidRPr="00D306A0" w:rsidRDefault="00D306A0" w:rsidP="00D306A0">
      <w:pPr>
        <w:rPr>
          <w:b/>
          <w:bCs/>
        </w:rPr>
      </w:pPr>
      <w:r w:rsidRPr="00D306A0">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7"/>
        <w:gridCol w:w="1407"/>
        <w:gridCol w:w="2012"/>
      </w:tblGrid>
      <w:tr w:rsidR="00D306A0" w:rsidRPr="00D306A0" w14:paraId="4A4AABDC" w14:textId="77777777" w:rsidTr="00D306A0">
        <w:trPr>
          <w:tblHeader/>
          <w:tblCellSpacing w:w="15" w:type="dxa"/>
        </w:trPr>
        <w:tc>
          <w:tcPr>
            <w:tcW w:w="0" w:type="auto"/>
            <w:vAlign w:val="center"/>
            <w:hideMark/>
          </w:tcPr>
          <w:p w14:paraId="2378C074" w14:textId="77777777" w:rsidR="00D306A0" w:rsidRPr="00D306A0" w:rsidRDefault="00D306A0" w:rsidP="00D306A0">
            <w:pPr>
              <w:rPr>
                <w:b/>
                <w:bCs/>
              </w:rPr>
            </w:pPr>
            <w:r w:rsidRPr="00D306A0">
              <w:rPr>
                <w:b/>
                <w:bCs/>
              </w:rPr>
              <w:t>Deliverable</w:t>
            </w:r>
          </w:p>
        </w:tc>
        <w:tc>
          <w:tcPr>
            <w:tcW w:w="0" w:type="auto"/>
            <w:vAlign w:val="center"/>
            <w:hideMark/>
          </w:tcPr>
          <w:p w14:paraId="6A7BEA38" w14:textId="77777777" w:rsidR="00D306A0" w:rsidRPr="00D306A0" w:rsidRDefault="00D306A0" w:rsidP="00D306A0">
            <w:pPr>
              <w:rPr>
                <w:b/>
                <w:bCs/>
              </w:rPr>
            </w:pPr>
            <w:r w:rsidRPr="00D306A0">
              <w:rPr>
                <w:b/>
                <w:bCs/>
              </w:rPr>
              <w:t>Status / Evidence</w:t>
            </w:r>
          </w:p>
        </w:tc>
        <w:tc>
          <w:tcPr>
            <w:tcW w:w="0" w:type="auto"/>
            <w:vAlign w:val="center"/>
            <w:hideMark/>
          </w:tcPr>
          <w:p w14:paraId="2ED55C82" w14:textId="77777777" w:rsidR="00D306A0" w:rsidRPr="00D306A0" w:rsidRDefault="00D306A0" w:rsidP="00D306A0">
            <w:pPr>
              <w:rPr>
                <w:b/>
                <w:bCs/>
              </w:rPr>
            </w:pPr>
            <w:r w:rsidRPr="00D306A0">
              <w:rPr>
                <w:b/>
                <w:bCs/>
              </w:rPr>
              <w:t>Relevant Notes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Full technical design drawings and specifications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MIS 3002, MIS 3005-D/I</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DSEAR risk assessment finalised for BESS (thermal-runaway detection, ventilation, separation distances)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DSEAR, NFCC guidance</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Fire strategy addendum covering BESS and any new plant rooms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Formal G98/G99 connection application submitted and connection offer received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ENA G98/G99</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MCS-certified installer/contractor confirmed for PV and heat pump scopes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MIS 3002, MIS 3005-I</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EV charging circuit design (protective device selection, PME earthing assessment for open-access areas)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EN IEC 61851, IET CoP</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Verification that heat pump/PV retrofit does not compromise SHTM 03-01 ventilation or thermal-comfort requirements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SHTM 03-01</w:t>
            </w:r>
          </w:p>
        </w:tc>
      </w:tr>
    </w:tbl>
    <w:p w14:paraId="1ECB6DCB" w14:textId="77777777" w:rsidR="00D306A0" w:rsidRPr="00D306A0" w:rsidRDefault="00D306A0" w:rsidP="00D306A0">
      <w:pPr>
        <w:rPr>
          <w:b/>
          <w:bCs/>
        </w:rPr>
      </w:pPr>
      <w:r w:rsidRPr="00D306A0">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0"/>
        <w:gridCol w:w="1428"/>
        <w:gridCol w:w="1988"/>
      </w:tblGrid>
      <w:tr w:rsidR="00D306A0" w:rsidRPr="00D306A0" w14:paraId="36320656" w14:textId="77777777" w:rsidTr="00D306A0">
        <w:trPr>
          <w:tblHeader/>
          <w:tblCellSpacing w:w="15" w:type="dxa"/>
        </w:trPr>
        <w:tc>
          <w:tcPr>
            <w:tcW w:w="0" w:type="auto"/>
            <w:vAlign w:val="center"/>
            <w:hideMark/>
          </w:tcPr>
          <w:p w14:paraId="7D3FC1BC" w14:textId="77777777" w:rsidR="00D306A0" w:rsidRPr="00D306A0" w:rsidRDefault="00D306A0" w:rsidP="00D306A0">
            <w:pPr>
              <w:rPr>
                <w:b/>
                <w:bCs/>
              </w:rPr>
            </w:pPr>
            <w:r w:rsidRPr="00D306A0">
              <w:rPr>
                <w:b/>
                <w:bCs/>
              </w:rPr>
              <w:t>Deliverable</w:t>
            </w:r>
          </w:p>
        </w:tc>
        <w:tc>
          <w:tcPr>
            <w:tcW w:w="0" w:type="auto"/>
            <w:vAlign w:val="center"/>
            <w:hideMark/>
          </w:tcPr>
          <w:p w14:paraId="11F843F5" w14:textId="77777777" w:rsidR="00D306A0" w:rsidRPr="00D306A0" w:rsidRDefault="00D306A0" w:rsidP="00D306A0">
            <w:pPr>
              <w:rPr>
                <w:b/>
                <w:bCs/>
              </w:rPr>
            </w:pPr>
            <w:r w:rsidRPr="00D306A0">
              <w:rPr>
                <w:b/>
                <w:bCs/>
              </w:rPr>
              <w:t>Status / Evidence</w:t>
            </w:r>
          </w:p>
        </w:tc>
        <w:tc>
          <w:tcPr>
            <w:tcW w:w="0" w:type="auto"/>
            <w:vAlign w:val="center"/>
            <w:hideMark/>
          </w:tcPr>
          <w:p w14:paraId="7C53CED0" w14:textId="77777777" w:rsidR="00D306A0" w:rsidRPr="00D306A0" w:rsidRDefault="00D306A0" w:rsidP="00D306A0">
            <w:pPr>
              <w:rPr>
                <w:b/>
                <w:bCs/>
              </w:rPr>
            </w:pPr>
            <w:r w:rsidRPr="00D306A0">
              <w:rPr>
                <w:b/>
                <w:bCs/>
              </w:rPr>
              <w:t>Relevant Notes</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Installation carried out per MCS standards, with progress records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MIS 3002, MIS 3005-I</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Contractor method statements and permit-to-work records for any live electrical isolations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PVG-checked contractor attendance records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BESS installation verified against DSEAR risk assessment and fire strategy</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G98/G99 notification or pre-energisation approval obtained from the DNO before energisation</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ENA G98/G99</w:t>
            </w:r>
          </w:p>
        </w:tc>
      </w:tr>
    </w:tbl>
    <w:p w14:paraId="36721BEE" w14:textId="77777777" w:rsidR="00D306A0" w:rsidRPr="00D306A0" w:rsidRDefault="00D306A0" w:rsidP="00D306A0">
      <w:pPr>
        <w:rPr>
          <w:b/>
          <w:bCs/>
        </w:rPr>
      </w:pPr>
      <w:r w:rsidRPr="00D306A0">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8"/>
        <w:gridCol w:w="1560"/>
        <w:gridCol w:w="1938"/>
      </w:tblGrid>
      <w:tr w:rsidR="00D306A0" w:rsidRPr="00D306A0" w14:paraId="3F6DFD9E" w14:textId="77777777" w:rsidTr="00D306A0">
        <w:trPr>
          <w:tblHeader/>
          <w:tblCellSpacing w:w="15" w:type="dxa"/>
        </w:trPr>
        <w:tc>
          <w:tcPr>
            <w:tcW w:w="0" w:type="auto"/>
            <w:vAlign w:val="center"/>
            <w:hideMark/>
          </w:tcPr>
          <w:p w14:paraId="52A650E7" w14:textId="77777777" w:rsidR="00D306A0" w:rsidRPr="00D306A0" w:rsidRDefault="00D306A0" w:rsidP="00D306A0">
            <w:pPr>
              <w:rPr>
                <w:b/>
                <w:bCs/>
              </w:rPr>
            </w:pPr>
            <w:r w:rsidRPr="00D306A0">
              <w:rPr>
                <w:b/>
                <w:bCs/>
              </w:rPr>
              <w:t>Deliverable</w:t>
            </w:r>
          </w:p>
        </w:tc>
        <w:tc>
          <w:tcPr>
            <w:tcW w:w="0" w:type="auto"/>
            <w:vAlign w:val="center"/>
            <w:hideMark/>
          </w:tcPr>
          <w:p w14:paraId="517A86C8" w14:textId="77777777" w:rsidR="00D306A0" w:rsidRPr="00D306A0" w:rsidRDefault="00D306A0" w:rsidP="00D306A0">
            <w:pPr>
              <w:rPr>
                <w:b/>
                <w:bCs/>
              </w:rPr>
            </w:pPr>
            <w:r w:rsidRPr="00D306A0">
              <w:rPr>
                <w:b/>
                <w:bCs/>
              </w:rPr>
              <w:t>Status / Evidence</w:t>
            </w:r>
          </w:p>
        </w:tc>
        <w:tc>
          <w:tcPr>
            <w:tcW w:w="0" w:type="auto"/>
            <w:vAlign w:val="center"/>
            <w:hideMark/>
          </w:tcPr>
          <w:p w14:paraId="649190D4" w14:textId="77777777" w:rsidR="00D306A0" w:rsidRPr="00D306A0" w:rsidRDefault="00D306A0" w:rsidP="00D306A0">
            <w:pPr>
              <w:rPr>
                <w:b/>
                <w:bCs/>
              </w:rPr>
            </w:pPr>
            <w:r w:rsidRPr="00D306A0">
              <w:rPr>
                <w:b/>
                <w:bCs/>
              </w:rPr>
              <w:t>Relevant Notes</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Full commissioning records (PV yield test, heat pump performance verification, BESS functional/fire-detection test, EV charge-point functional test)</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MIS 3002, MIS 3005-I</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MCS certification issued for PV and heat pump installations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MIS 3002, MIS 3005-I</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DNO connection agreement finalised (G98 notification accepted / G99 approval confirmed)</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ENA G98/G99</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O&amp;M manuals, warranties and as-built drawings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Operator training on BMS integration and BESS emergency shutdown procedures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bl>
    <w:p w14:paraId="148FFCEF" w14:textId="77777777" w:rsidR="00D306A0" w:rsidRPr="00D306A0" w:rsidRDefault="00D306A0" w:rsidP="00D306A0">
      <w:pPr>
        <w:rPr>
          <w:b/>
          <w:bCs/>
        </w:rPr>
      </w:pPr>
      <w:r w:rsidRPr="00D306A0">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7"/>
        <w:gridCol w:w="1543"/>
        <w:gridCol w:w="1896"/>
      </w:tblGrid>
      <w:tr w:rsidR="00D306A0" w:rsidRPr="00D306A0" w14:paraId="04607232" w14:textId="77777777" w:rsidTr="00D306A0">
        <w:trPr>
          <w:tblHeader/>
          <w:tblCellSpacing w:w="15" w:type="dxa"/>
        </w:trPr>
        <w:tc>
          <w:tcPr>
            <w:tcW w:w="0" w:type="auto"/>
            <w:vAlign w:val="center"/>
            <w:hideMark/>
          </w:tcPr>
          <w:p w14:paraId="72E72102" w14:textId="77777777" w:rsidR="00D306A0" w:rsidRPr="00D306A0" w:rsidRDefault="00D306A0" w:rsidP="00D306A0">
            <w:pPr>
              <w:rPr>
                <w:b/>
                <w:bCs/>
              </w:rPr>
            </w:pPr>
            <w:r w:rsidRPr="00D306A0">
              <w:rPr>
                <w:b/>
                <w:bCs/>
              </w:rPr>
              <w:t>Deliverable</w:t>
            </w:r>
          </w:p>
        </w:tc>
        <w:tc>
          <w:tcPr>
            <w:tcW w:w="0" w:type="auto"/>
            <w:vAlign w:val="center"/>
            <w:hideMark/>
          </w:tcPr>
          <w:p w14:paraId="27EA2ECE" w14:textId="77777777" w:rsidR="00D306A0" w:rsidRPr="00D306A0" w:rsidRDefault="00D306A0" w:rsidP="00D306A0">
            <w:pPr>
              <w:rPr>
                <w:b/>
                <w:bCs/>
              </w:rPr>
            </w:pPr>
            <w:r w:rsidRPr="00D306A0">
              <w:rPr>
                <w:b/>
                <w:bCs/>
              </w:rPr>
              <w:t>Status / Evidence</w:t>
            </w:r>
          </w:p>
        </w:tc>
        <w:tc>
          <w:tcPr>
            <w:tcW w:w="0" w:type="auto"/>
            <w:vAlign w:val="center"/>
            <w:hideMark/>
          </w:tcPr>
          <w:p w14:paraId="5E127006" w14:textId="77777777" w:rsidR="00D306A0" w:rsidRPr="00D306A0" w:rsidRDefault="00D306A0" w:rsidP="00D306A0">
            <w:pPr>
              <w:rPr>
                <w:b/>
                <w:bCs/>
              </w:rPr>
            </w:pPr>
            <w:r w:rsidRPr="00D306A0">
              <w:rPr>
                <w:b/>
                <w:bCs/>
              </w:rPr>
              <w:t>Relevant Notes</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Ongoing performance monitoring against MCS commissioning benchmarks (PV yield, heat pump COP)</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BESS fire-detection and DSEAR risk assessment review on a defined periodic cycle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DSEAR</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Updated maintenance regime integrated with the BMS and wider PPM programme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Annual carbon/energy performance reported against the NHS Scotland Climate Emergency and Sustainability Strategy: 2022-2026 trajectory</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bl>
    <w:p w14:paraId="69B23D47" w14:textId="77777777" w:rsidR="00D306A0" w:rsidRPr="00D306A0" w:rsidRDefault="00D306A0" w:rsidP="00D306A0">
      <w:pPr>
        <w:rPr>
          <w:b/>
          <w:bCs/>
        </w:rPr>
      </w:pPr>
      <w:r w:rsidRPr="00D306A0">
        <w:rPr>
          <w:b/>
          <w:bCs/>
        </w:rPr>
        <w:t>Cross-Stage / Continuous Deliverables</w:t>
      </w:r>
    </w:p>
    <w:p w14:paraId="75E5B16B" w14:textId="77777777" w:rsidR="00D306A0" w:rsidRPr="00D306A0" w:rsidRDefault="00D306A0" w:rsidP="00D306A0">
      <w:pPr>
        <w:numPr>
          <w:ilvl w:val="0"/>
          <w:numId w:val="2"/>
        </w:numPr>
      </w:pPr>
      <w:r w:rsidRPr="00D306A0">
        <w:t>Ongoing DNO G98/G99 connection agreement compliance (export limits, protection settings) maintained throughout system life</w:t>
      </w:r>
    </w:p>
    <w:p w14:paraId="75E5B16B" w14:textId="77777777" w:rsidR="00D306A0" w:rsidRPr="00D306A0" w:rsidRDefault="00D306A0" w:rsidP="00D306A0">
      <w:pPr>
        <w:numPr>
          <w:ilvl w:val="0"/>
          <w:numId w:val="2"/>
        </w:numPr>
      </w:pPr>
      <w:r w:rsidRPr="00D306A0">
        <w:t>BESS DSEAR risk assessment and fire strategy reviewed on a defined periodic cycle, not treated as a one-off Stage 4 exercise</w:t>
      </w:r>
    </w:p>
    <w:p w14:paraId="75E5B16B" w14:textId="77777777" w:rsidR="00D306A0" w:rsidRPr="00D306A0" w:rsidRDefault="00D306A0" w:rsidP="00D306A0">
      <w:pPr>
        <w:numPr>
          <w:ilvl w:val="0"/>
          <w:numId w:val="2"/>
        </w:numPr>
      </w:pPr>
      <w:r w:rsidRPr="00D306A0">
        <w:t>MCS certification and commissioning records retained for the life of the installation</w:t>
      </w:r>
    </w:p>
    <w:p w14:paraId="75E5B16B" w14:textId="77777777" w:rsidR="00D306A0" w:rsidRPr="00D306A0" w:rsidRDefault="00D306A0" w:rsidP="00D306A0">
      <w:pPr>
        <w:numPr>
          <w:ilvl w:val="0"/>
          <w:numId w:val="2"/>
        </w:numPr>
      </w:pPr>
      <w:r w:rsidRPr="00D306A0">
        <w:t>Evidence of current PVG Scheme membership for all contractor personnel attending site</w:t>
      </w:r>
    </w:p>
    <w:p w14:paraId="75E5B16B" w14:textId="77777777" w:rsidR="00D306A0" w:rsidRPr="00D306A0" w:rsidRDefault="00D306A0" w:rsidP="00D306A0">
      <w:pPr>
        <w:numPr>
          <w:ilvl w:val="0"/>
          <w:numId w:val="2"/>
        </w:numPr>
      </w:pPr>
      <w:r w:rsidRPr="00D306A0">
        <w:t>Where works are in, adjacent to, above or below a room housing ionising-radiation imaging equipment (CT, X-ray, fluoroscopy, nuclear medicine): confirm Radiation Protection Adviser (RPA) sign-off on shielding integrity per the Room/Ward/Theatre Refresh checklist - a separate gate from HAI-SCRIBE, not covered by it</w:t>
      </w:r>
    </w:p>
    <w:p w14:paraId="3822CA5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C250E"/>
    <w:multiLevelType w:val="multilevel"/>
    <w:tmpl w:val="85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0141E"/>
    <w:multiLevelType w:val="multilevel"/>
    <w:tmpl w:val="FB7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8431">
    <w:abstractNumId w:val="0"/>
  </w:num>
  <w:num w:numId="2" w16cid:durableId="203387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1E"/>
    <w:rsid w:val="00584254"/>
    <w:rsid w:val="00670B46"/>
    <w:rsid w:val="00B83A1E"/>
    <w:rsid w:val="00C30C00"/>
    <w:rsid w:val="00D30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C71F"/>
  <w15:chartTrackingRefBased/>
  <w15:docId w15:val="{B0BC008D-9C49-4297-A5FF-0ADE7CB4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1E"/>
    <w:rPr>
      <w:rFonts w:eastAsiaTheme="majorEastAsia" w:cstheme="majorBidi"/>
      <w:color w:val="272727" w:themeColor="text1" w:themeTint="D8"/>
    </w:rPr>
  </w:style>
  <w:style w:type="paragraph" w:styleId="Title">
    <w:name w:val="Title"/>
    <w:basedOn w:val="Normal"/>
    <w:next w:val="Normal"/>
    <w:link w:val="TitleChar"/>
    <w:uiPriority w:val="10"/>
    <w:qFormat/>
    <w:rsid w:val="00B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1E"/>
    <w:pPr>
      <w:spacing w:before="160"/>
      <w:jc w:val="center"/>
    </w:pPr>
    <w:rPr>
      <w:i/>
      <w:iCs/>
      <w:color w:val="404040" w:themeColor="text1" w:themeTint="BF"/>
    </w:rPr>
  </w:style>
  <w:style w:type="character" w:customStyle="1" w:styleId="QuoteChar">
    <w:name w:val="Quote Char"/>
    <w:basedOn w:val="DefaultParagraphFont"/>
    <w:link w:val="Quote"/>
    <w:uiPriority w:val="29"/>
    <w:rsid w:val="00B83A1E"/>
    <w:rPr>
      <w:i/>
      <w:iCs/>
      <w:color w:val="404040" w:themeColor="text1" w:themeTint="BF"/>
    </w:rPr>
  </w:style>
  <w:style w:type="paragraph" w:styleId="ListParagraph">
    <w:name w:val="List Paragraph"/>
    <w:basedOn w:val="Normal"/>
    <w:uiPriority w:val="34"/>
    <w:qFormat/>
    <w:rsid w:val="00B83A1E"/>
    <w:pPr>
      <w:ind w:left="720"/>
      <w:contextualSpacing/>
    </w:pPr>
  </w:style>
  <w:style w:type="character" w:styleId="IntenseEmphasis">
    <w:name w:val="Intense Emphasis"/>
    <w:basedOn w:val="DefaultParagraphFont"/>
    <w:uiPriority w:val="21"/>
    <w:qFormat/>
    <w:rsid w:val="00B83A1E"/>
    <w:rPr>
      <w:i/>
      <w:iCs/>
      <w:color w:val="0F4761" w:themeColor="accent1" w:themeShade="BF"/>
    </w:rPr>
  </w:style>
  <w:style w:type="paragraph" w:styleId="IntenseQuote">
    <w:name w:val="Intense Quote"/>
    <w:basedOn w:val="Normal"/>
    <w:next w:val="Normal"/>
    <w:link w:val="IntenseQuoteChar"/>
    <w:uiPriority w:val="30"/>
    <w:qFormat/>
    <w:rsid w:val="00B8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1E"/>
    <w:rPr>
      <w:i/>
      <w:iCs/>
      <w:color w:val="0F4761" w:themeColor="accent1" w:themeShade="BF"/>
    </w:rPr>
  </w:style>
  <w:style w:type="character" w:styleId="IntenseReference">
    <w:name w:val="Intense Reference"/>
    <w:basedOn w:val="DefaultParagraphFont"/>
    <w:uiPriority w:val="32"/>
    <w:qFormat/>
    <w:rsid w:val="00B83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832">
      <w:bodyDiv w:val="1"/>
      <w:marLeft w:val="0"/>
      <w:marRight w:val="0"/>
      <w:marTop w:val="0"/>
      <w:marBottom w:val="0"/>
      <w:divBdr>
        <w:top w:val="none" w:sz="0" w:space="0" w:color="auto"/>
        <w:left w:val="none" w:sz="0" w:space="0" w:color="auto"/>
        <w:bottom w:val="none" w:sz="0" w:space="0" w:color="auto"/>
        <w:right w:val="none" w:sz="0" w:space="0" w:color="auto"/>
      </w:divBdr>
      <w:divsChild>
        <w:div w:id="1806511246">
          <w:marLeft w:val="0"/>
          <w:marRight w:val="0"/>
          <w:marTop w:val="0"/>
          <w:marBottom w:val="0"/>
          <w:divBdr>
            <w:top w:val="none" w:sz="0" w:space="0" w:color="auto"/>
            <w:left w:val="none" w:sz="0" w:space="0" w:color="auto"/>
            <w:bottom w:val="none" w:sz="0" w:space="0" w:color="auto"/>
            <w:right w:val="none" w:sz="0" w:space="0" w:color="auto"/>
          </w:divBdr>
          <w:divsChild>
            <w:div w:id="1262761814">
              <w:marLeft w:val="0"/>
              <w:marRight w:val="0"/>
              <w:marTop w:val="0"/>
              <w:marBottom w:val="0"/>
              <w:divBdr>
                <w:top w:val="none" w:sz="0" w:space="0" w:color="auto"/>
                <w:left w:val="none" w:sz="0" w:space="0" w:color="auto"/>
                <w:bottom w:val="none" w:sz="0" w:space="0" w:color="auto"/>
                <w:right w:val="none" w:sz="0" w:space="0" w:color="auto"/>
              </w:divBdr>
              <w:divsChild>
                <w:div w:id="547767112">
                  <w:marLeft w:val="0"/>
                  <w:marRight w:val="0"/>
                  <w:marTop w:val="0"/>
                  <w:marBottom w:val="0"/>
                  <w:divBdr>
                    <w:top w:val="none" w:sz="0" w:space="0" w:color="auto"/>
                    <w:left w:val="none" w:sz="0" w:space="0" w:color="auto"/>
                    <w:bottom w:val="none" w:sz="0" w:space="0" w:color="auto"/>
                    <w:right w:val="none" w:sz="0" w:space="0" w:color="auto"/>
                  </w:divBdr>
                  <w:divsChild>
                    <w:div w:id="2045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1839">
          <w:marLeft w:val="0"/>
          <w:marRight w:val="0"/>
          <w:marTop w:val="0"/>
          <w:marBottom w:val="0"/>
          <w:divBdr>
            <w:top w:val="none" w:sz="0" w:space="0" w:color="auto"/>
            <w:left w:val="none" w:sz="0" w:space="0" w:color="auto"/>
            <w:bottom w:val="none" w:sz="0" w:space="0" w:color="auto"/>
            <w:right w:val="none" w:sz="0" w:space="0" w:color="auto"/>
          </w:divBdr>
          <w:divsChild>
            <w:div w:id="419378445">
              <w:marLeft w:val="0"/>
              <w:marRight w:val="0"/>
              <w:marTop w:val="0"/>
              <w:marBottom w:val="0"/>
              <w:divBdr>
                <w:top w:val="none" w:sz="0" w:space="0" w:color="auto"/>
                <w:left w:val="none" w:sz="0" w:space="0" w:color="auto"/>
                <w:bottom w:val="none" w:sz="0" w:space="0" w:color="auto"/>
                <w:right w:val="none" w:sz="0" w:space="0" w:color="auto"/>
              </w:divBdr>
              <w:divsChild>
                <w:div w:id="13306855">
                  <w:marLeft w:val="0"/>
                  <w:marRight w:val="0"/>
                  <w:marTop w:val="0"/>
                  <w:marBottom w:val="0"/>
                  <w:divBdr>
                    <w:top w:val="none" w:sz="0" w:space="0" w:color="auto"/>
                    <w:left w:val="none" w:sz="0" w:space="0" w:color="auto"/>
                    <w:bottom w:val="none" w:sz="0" w:space="0" w:color="auto"/>
                    <w:right w:val="none" w:sz="0" w:space="0" w:color="auto"/>
                  </w:divBdr>
                  <w:divsChild>
                    <w:div w:id="10387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355">
          <w:marLeft w:val="0"/>
          <w:marRight w:val="0"/>
          <w:marTop w:val="0"/>
          <w:marBottom w:val="0"/>
          <w:divBdr>
            <w:top w:val="none" w:sz="0" w:space="0" w:color="auto"/>
            <w:left w:val="none" w:sz="0" w:space="0" w:color="auto"/>
            <w:bottom w:val="none" w:sz="0" w:space="0" w:color="auto"/>
            <w:right w:val="none" w:sz="0" w:space="0" w:color="auto"/>
          </w:divBdr>
          <w:divsChild>
            <w:div w:id="96490580">
              <w:marLeft w:val="0"/>
              <w:marRight w:val="0"/>
              <w:marTop w:val="0"/>
              <w:marBottom w:val="0"/>
              <w:divBdr>
                <w:top w:val="none" w:sz="0" w:space="0" w:color="auto"/>
                <w:left w:val="none" w:sz="0" w:space="0" w:color="auto"/>
                <w:bottom w:val="none" w:sz="0" w:space="0" w:color="auto"/>
                <w:right w:val="none" w:sz="0" w:space="0" w:color="auto"/>
              </w:divBdr>
              <w:divsChild>
                <w:div w:id="601035684">
                  <w:marLeft w:val="0"/>
                  <w:marRight w:val="0"/>
                  <w:marTop w:val="0"/>
                  <w:marBottom w:val="0"/>
                  <w:divBdr>
                    <w:top w:val="none" w:sz="0" w:space="0" w:color="auto"/>
                    <w:left w:val="none" w:sz="0" w:space="0" w:color="auto"/>
                    <w:bottom w:val="none" w:sz="0" w:space="0" w:color="auto"/>
                    <w:right w:val="none" w:sz="0" w:space="0" w:color="auto"/>
                  </w:divBdr>
                  <w:divsChild>
                    <w:div w:id="12397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4554">
          <w:marLeft w:val="0"/>
          <w:marRight w:val="0"/>
          <w:marTop w:val="0"/>
          <w:marBottom w:val="0"/>
          <w:divBdr>
            <w:top w:val="none" w:sz="0" w:space="0" w:color="auto"/>
            <w:left w:val="none" w:sz="0" w:space="0" w:color="auto"/>
            <w:bottom w:val="none" w:sz="0" w:space="0" w:color="auto"/>
            <w:right w:val="none" w:sz="0" w:space="0" w:color="auto"/>
          </w:divBdr>
          <w:divsChild>
            <w:div w:id="1013339209">
              <w:marLeft w:val="0"/>
              <w:marRight w:val="0"/>
              <w:marTop w:val="0"/>
              <w:marBottom w:val="0"/>
              <w:divBdr>
                <w:top w:val="none" w:sz="0" w:space="0" w:color="auto"/>
                <w:left w:val="none" w:sz="0" w:space="0" w:color="auto"/>
                <w:bottom w:val="none" w:sz="0" w:space="0" w:color="auto"/>
                <w:right w:val="none" w:sz="0" w:space="0" w:color="auto"/>
              </w:divBdr>
              <w:divsChild>
                <w:div w:id="1996254317">
                  <w:marLeft w:val="0"/>
                  <w:marRight w:val="0"/>
                  <w:marTop w:val="0"/>
                  <w:marBottom w:val="0"/>
                  <w:divBdr>
                    <w:top w:val="none" w:sz="0" w:space="0" w:color="auto"/>
                    <w:left w:val="none" w:sz="0" w:space="0" w:color="auto"/>
                    <w:bottom w:val="none" w:sz="0" w:space="0" w:color="auto"/>
                    <w:right w:val="none" w:sz="0" w:space="0" w:color="auto"/>
                  </w:divBdr>
                  <w:divsChild>
                    <w:div w:id="1979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3961">
          <w:marLeft w:val="0"/>
          <w:marRight w:val="0"/>
          <w:marTop w:val="0"/>
          <w:marBottom w:val="0"/>
          <w:divBdr>
            <w:top w:val="none" w:sz="0" w:space="0" w:color="auto"/>
            <w:left w:val="none" w:sz="0" w:space="0" w:color="auto"/>
            <w:bottom w:val="none" w:sz="0" w:space="0" w:color="auto"/>
            <w:right w:val="none" w:sz="0" w:space="0" w:color="auto"/>
          </w:divBdr>
          <w:divsChild>
            <w:div w:id="184638687">
              <w:marLeft w:val="0"/>
              <w:marRight w:val="0"/>
              <w:marTop w:val="0"/>
              <w:marBottom w:val="0"/>
              <w:divBdr>
                <w:top w:val="none" w:sz="0" w:space="0" w:color="auto"/>
                <w:left w:val="none" w:sz="0" w:space="0" w:color="auto"/>
                <w:bottom w:val="none" w:sz="0" w:space="0" w:color="auto"/>
                <w:right w:val="none" w:sz="0" w:space="0" w:color="auto"/>
              </w:divBdr>
              <w:divsChild>
                <w:div w:id="823862395">
                  <w:marLeft w:val="0"/>
                  <w:marRight w:val="0"/>
                  <w:marTop w:val="0"/>
                  <w:marBottom w:val="0"/>
                  <w:divBdr>
                    <w:top w:val="none" w:sz="0" w:space="0" w:color="auto"/>
                    <w:left w:val="none" w:sz="0" w:space="0" w:color="auto"/>
                    <w:bottom w:val="none" w:sz="0" w:space="0" w:color="auto"/>
                    <w:right w:val="none" w:sz="0" w:space="0" w:color="auto"/>
                  </w:divBdr>
                  <w:divsChild>
                    <w:div w:id="8390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21558">
          <w:marLeft w:val="0"/>
          <w:marRight w:val="0"/>
          <w:marTop w:val="0"/>
          <w:marBottom w:val="0"/>
          <w:divBdr>
            <w:top w:val="none" w:sz="0" w:space="0" w:color="auto"/>
            <w:left w:val="none" w:sz="0" w:space="0" w:color="auto"/>
            <w:bottom w:val="none" w:sz="0" w:space="0" w:color="auto"/>
            <w:right w:val="none" w:sz="0" w:space="0" w:color="auto"/>
          </w:divBdr>
          <w:divsChild>
            <w:div w:id="1619526810">
              <w:marLeft w:val="0"/>
              <w:marRight w:val="0"/>
              <w:marTop w:val="0"/>
              <w:marBottom w:val="0"/>
              <w:divBdr>
                <w:top w:val="none" w:sz="0" w:space="0" w:color="auto"/>
                <w:left w:val="none" w:sz="0" w:space="0" w:color="auto"/>
                <w:bottom w:val="none" w:sz="0" w:space="0" w:color="auto"/>
                <w:right w:val="none" w:sz="0" w:space="0" w:color="auto"/>
              </w:divBdr>
              <w:divsChild>
                <w:div w:id="1778937813">
                  <w:marLeft w:val="0"/>
                  <w:marRight w:val="0"/>
                  <w:marTop w:val="0"/>
                  <w:marBottom w:val="0"/>
                  <w:divBdr>
                    <w:top w:val="none" w:sz="0" w:space="0" w:color="auto"/>
                    <w:left w:val="none" w:sz="0" w:space="0" w:color="auto"/>
                    <w:bottom w:val="none" w:sz="0" w:space="0" w:color="auto"/>
                    <w:right w:val="none" w:sz="0" w:space="0" w:color="auto"/>
                  </w:divBdr>
                  <w:divsChild>
                    <w:div w:id="10139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21490">
          <w:marLeft w:val="0"/>
          <w:marRight w:val="0"/>
          <w:marTop w:val="0"/>
          <w:marBottom w:val="0"/>
          <w:divBdr>
            <w:top w:val="none" w:sz="0" w:space="0" w:color="auto"/>
            <w:left w:val="none" w:sz="0" w:space="0" w:color="auto"/>
            <w:bottom w:val="none" w:sz="0" w:space="0" w:color="auto"/>
            <w:right w:val="none" w:sz="0" w:space="0" w:color="auto"/>
          </w:divBdr>
          <w:divsChild>
            <w:div w:id="327179270">
              <w:marLeft w:val="0"/>
              <w:marRight w:val="0"/>
              <w:marTop w:val="0"/>
              <w:marBottom w:val="0"/>
              <w:divBdr>
                <w:top w:val="none" w:sz="0" w:space="0" w:color="auto"/>
                <w:left w:val="none" w:sz="0" w:space="0" w:color="auto"/>
                <w:bottom w:val="none" w:sz="0" w:space="0" w:color="auto"/>
                <w:right w:val="none" w:sz="0" w:space="0" w:color="auto"/>
              </w:divBdr>
              <w:divsChild>
                <w:div w:id="1837575138">
                  <w:marLeft w:val="0"/>
                  <w:marRight w:val="0"/>
                  <w:marTop w:val="0"/>
                  <w:marBottom w:val="0"/>
                  <w:divBdr>
                    <w:top w:val="none" w:sz="0" w:space="0" w:color="auto"/>
                    <w:left w:val="none" w:sz="0" w:space="0" w:color="auto"/>
                    <w:bottom w:val="none" w:sz="0" w:space="0" w:color="auto"/>
                    <w:right w:val="none" w:sz="0" w:space="0" w:color="auto"/>
                  </w:divBdr>
                  <w:divsChild>
                    <w:div w:id="1901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2920">
          <w:marLeft w:val="0"/>
          <w:marRight w:val="0"/>
          <w:marTop w:val="0"/>
          <w:marBottom w:val="0"/>
          <w:divBdr>
            <w:top w:val="none" w:sz="0" w:space="0" w:color="auto"/>
            <w:left w:val="none" w:sz="0" w:space="0" w:color="auto"/>
            <w:bottom w:val="none" w:sz="0" w:space="0" w:color="auto"/>
            <w:right w:val="none" w:sz="0" w:space="0" w:color="auto"/>
          </w:divBdr>
          <w:divsChild>
            <w:div w:id="2114980294">
              <w:marLeft w:val="0"/>
              <w:marRight w:val="0"/>
              <w:marTop w:val="0"/>
              <w:marBottom w:val="0"/>
              <w:divBdr>
                <w:top w:val="none" w:sz="0" w:space="0" w:color="auto"/>
                <w:left w:val="none" w:sz="0" w:space="0" w:color="auto"/>
                <w:bottom w:val="none" w:sz="0" w:space="0" w:color="auto"/>
                <w:right w:val="none" w:sz="0" w:space="0" w:color="auto"/>
              </w:divBdr>
              <w:divsChild>
                <w:div w:id="1199243424">
                  <w:marLeft w:val="0"/>
                  <w:marRight w:val="0"/>
                  <w:marTop w:val="0"/>
                  <w:marBottom w:val="0"/>
                  <w:divBdr>
                    <w:top w:val="none" w:sz="0" w:space="0" w:color="auto"/>
                    <w:left w:val="none" w:sz="0" w:space="0" w:color="auto"/>
                    <w:bottom w:val="none" w:sz="0" w:space="0" w:color="auto"/>
                    <w:right w:val="none" w:sz="0" w:space="0" w:color="auto"/>
                  </w:divBdr>
                  <w:divsChild>
                    <w:div w:id="21075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4205">
          <w:marLeft w:val="0"/>
          <w:marRight w:val="0"/>
          <w:marTop w:val="0"/>
          <w:marBottom w:val="0"/>
          <w:divBdr>
            <w:top w:val="none" w:sz="0" w:space="0" w:color="auto"/>
            <w:left w:val="none" w:sz="0" w:space="0" w:color="auto"/>
            <w:bottom w:val="none" w:sz="0" w:space="0" w:color="auto"/>
            <w:right w:val="none" w:sz="0" w:space="0" w:color="auto"/>
          </w:divBdr>
          <w:divsChild>
            <w:div w:id="1963342440">
              <w:marLeft w:val="0"/>
              <w:marRight w:val="0"/>
              <w:marTop w:val="0"/>
              <w:marBottom w:val="0"/>
              <w:divBdr>
                <w:top w:val="none" w:sz="0" w:space="0" w:color="auto"/>
                <w:left w:val="none" w:sz="0" w:space="0" w:color="auto"/>
                <w:bottom w:val="none" w:sz="0" w:space="0" w:color="auto"/>
                <w:right w:val="none" w:sz="0" w:space="0" w:color="auto"/>
              </w:divBdr>
              <w:divsChild>
                <w:div w:id="327830223">
                  <w:marLeft w:val="0"/>
                  <w:marRight w:val="0"/>
                  <w:marTop w:val="0"/>
                  <w:marBottom w:val="0"/>
                  <w:divBdr>
                    <w:top w:val="none" w:sz="0" w:space="0" w:color="auto"/>
                    <w:left w:val="none" w:sz="0" w:space="0" w:color="auto"/>
                    <w:bottom w:val="none" w:sz="0" w:space="0" w:color="auto"/>
                    <w:right w:val="none" w:sz="0" w:space="0" w:color="auto"/>
                  </w:divBdr>
                  <w:divsChild>
                    <w:div w:id="292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50715">
      <w:bodyDiv w:val="1"/>
      <w:marLeft w:val="0"/>
      <w:marRight w:val="0"/>
      <w:marTop w:val="0"/>
      <w:marBottom w:val="0"/>
      <w:divBdr>
        <w:top w:val="none" w:sz="0" w:space="0" w:color="auto"/>
        <w:left w:val="none" w:sz="0" w:space="0" w:color="auto"/>
        <w:bottom w:val="none" w:sz="0" w:space="0" w:color="auto"/>
        <w:right w:val="none" w:sz="0" w:space="0" w:color="auto"/>
      </w:divBdr>
      <w:divsChild>
        <w:div w:id="32198229">
          <w:marLeft w:val="0"/>
          <w:marRight w:val="0"/>
          <w:marTop w:val="0"/>
          <w:marBottom w:val="0"/>
          <w:divBdr>
            <w:top w:val="none" w:sz="0" w:space="0" w:color="auto"/>
            <w:left w:val="none" w:sz="0" w:space="0" w:color="auto"/>
            <w:bottom w:val="none" w:sz="0" w:space="0" w:color="auto"/>
            <w:right w:val="none" w:sz="0" w:space="0" w:color="auto"/>
          </w:divBdr>
          <w:divsChild>
            <w:div w:id="1074545555">
              <w:marLeft w:val="0"/>
              <w:marRight w:val="0"/>
              <w:marTop w:val="0"/>
              <w:marBottom w:val="0"/>
              <w:divBdr>
                <w:top w:val="none" w:sz="0" w:space="0" w:color="auto"/>
                <w:left w:val="none" w:sz="0" w:space="0" w:color="auto"/>
                <w:bottom w:val="none" w:sz="0" w:space="0" w:color="auto"/>
                <w:right w:val="none" w:sz="0" w:space="0" w:color="auto"/>
              </w:divBdr>
              <w:divsChild>
                <w:div w:id="757561944">
                  <w:marLeft w:val="0"/>
                  <w:marRight w:val="0"/>
                  <w:marTop w:val="0"/>
                  <w:marBottom w:val="0"/>
                  <w:divBdr>
                    <w:top w:val="none" w:sz="0" w:space="0" w:color="auto"/>
                    <w:left w:val="none" w:sz="0" w:space="0" w:color="auto"/>
                    <w:bottom w:val="none" w:sz="0" w:space="0" w:color="auto"/>
                    <w:right w:val="none" w:sz="0" w:space="0" w:color="auto"/>
                  </w:divBdr>
                  <w:divsChild>
                    <w:div w:id="16378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0025">
          <w:marLeft w:val="0"/>
          <w:marRight w:val="0"/>
          <w:marTop w:val="0"/>
          <w:marBottom w:val="0"/>
          <w:divBdr>
            <w:top w:val="none" w:sz="0" w:space="0" w:color="auto"/>
            <w:left w:val="none" w:sz="0" w:space="0" w:color="auto"/>
            <w:bottom w:val="none" w:sz="0" w:space="0" w:color="auto"/>
            <w:right w:val="none" w:sz="0" w:space="0" w:color="auto"/>
          </w:divBdr>
          <w:divsChild>
            <w:div w:id="1064067802">
              <w:marLeft w:val="0"/>
              <w:marRight w:val="0"/>
              <w:marTop w:val="0"/>
              <w:marBottom w:val="0"/>
              <w:divBdr>
                <w:top w:val="none" w:sz="0" w:space="0" w:color="auto"/>
                <w:left w:val="none" w:sz="0" w:space="0" w:color="auto"/>
                <w:bottom w:val="none" w:sz="0" w:space="0" w:color="auto"/>
                <w:right w:val="none" w:sz="0" w:space="0" w:color="auto"/>
              </w:divBdr>
              <w:divsChild>
                <w:div w:id="1236470403">
                  <w:marLeft w:val="0"/>
                  <w:marRight w:val="0"/>
                  <w:marTop w:val="0"/>
                  <w:marBottom w:val="0"/>
                  <w:divBdr>
                    <w:top w:val="none" w:sz="0" w:space="0" w:color="auto"/>
                    <w:left w:val="none" w:sz="0" w:space="0" w:color="auto"/>
                    <w:bottom w:val="none" w:sz="0" w:space="0" w:color="auto"/>
                    <w:right w:val="none" w:sz="0" w:space="0" w:color="auto"/>
                  </w:divBdr>
                  <w:divsChild>
                    <w:div w:id="982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0640">
          <w:marLeft w:val="0"/>
          <w:marRight w:val="0"/>
          <w:marTop w:val="0"/>
          <w:marBottom w:val="0"/>
          <w:divBdr>
            <w:top w:val="none" w:sz="0" w:space="0" w:color="auto"/>
            <w:left w:val="none" w:sz="0" w:space="0" w:color="auto"/>
            <w:bottom w:val="none" w:sz="0" w:space="0" w:color="auto"/>
            <w:right w:val="none" w:sz="0" w:space="0" w:color="auto"/>
          </w:divBdr>
          <w:divsChild>
            <w:div w:id="1863939050">
              <w:marLeft w:val="0"/>
              <w:marRight w:val="0"/>
              <w:marTop w:val="0"/>
              <w:marBottom w:val="0"/>
              <w:divBdr>
                <w:top w:val="none" w:sz="0" w:space="0" w:color="auto"/>
                <w:left w:val="none" w:sz="0" w:space="0" w:color="auto"/>
                <w:bottom w:val="none" w:sz="0" w:space="0" w:color="auto"/>
                <w:right w:val="none" w:sz="0" w:space="0" w:color="auto"/>
              </w:divBdr>
              <w:divsChild>
                <w:div w:id="1224298051">
                  <w:marLeft w:val="0"/>
                  <w:marRight w:val="0"/>
                  <w:marTop w:val="0"/>
                  <w:marBottom w:val="0"/>
                  <w:divBdr>
                    <w:top w:val="none" w:sz="0" w:space="0" w:color="auto"/>
                    <w:left w:val="none" w:sz="0" w:space="0" w:color="auto"/>
                    <w:bottom w:val="none" w:sz="0" w:space="0" w:color="auto"/>
                    <w:right w:val="none" w:sz="0" w:space="0" w:color="auto"/>
                  </w:divBdr>
                  <w:divsChild>
                    <w:div w:id="2106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27076">
          <w:marLeft w:val="0"/>
          <w:marRight w:val="0"/>
          <w:marTop w:val="0"/>
          <w:marBottom w:val="0"/>
          <w:divBdr>
            <w:top w:val="none" w:sz="0" w:space="0" w:color="auto"/>
            <w:left w:val="none" w:sz="0" w:space="0" w:color="auto"/>
            <w:bottom w:val="none" w:sz="0" w:space="0" w:color="auto"/>
            <w:right w:val="none" w:sz="0" w:space="0" w:color="auto"/>
          </w:divBdr>
          <w:divsChild>
            <w:div w:id="1474373061">
              <w:marLeft w:val="0"/>
              <w:marRight w:val="0"/>
              <w:marTop w:val="0"/>
              <w:marBottom w:val="0"/>
              <w:divBdr>
                <w:top w:val="none" w:sz="0" w:space="0" w:color="auto"/>
                <w:left w:val="none" w:sz="0" w:space="0" w:color="auto"/>
                <w:bottom w:val="none" w:sz="0" w:space="0" w:color="auto"/>
                <w:right w:val="none" w:sz="0" w:space="0" w:color="auto"/>
              </w:divBdr>
              <w:divsChild>
                <w:div w:id="462240114">
                  <w:marLeft w:val="0"/>
                  <w:marRight w:val="0"/>
                  <w:marTop w:val="0"/>
                  <w:marBottom w:val="0"/>
                  <w:divBdr>
                    <w:top w:val="none" w:sz="0" w:space="0" w:color="auto"/>
                    <w:left w:val="none" w:sz="0" w:space="0" w:color="auto"/>
                    <w:bottom w:val="none" w:sz="0" w:space="0" w:color="auto"/>
                    <w:right w:val="none" w:sz="0" w:space="0" w:color="auto"/>
                  </w:divBdr>
                  <w:divsChild>
                    <w:div w:id="46917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40009">
          <w:marLeft w:val="0"/>
          <w:marRight w:val="0"/>
          <w:marTop w:val="0"/>
          <w:marBottom w:val="0"/>
          <w:divBdr>
            <w:top w:val="none" w:sz="0" w:space="0" w:color="auto"/>
            <w:left w:val="none" w:sz="0" w:space="0" w:color="auto"/>
            <w:bottom w:val="none" w:sz="0" w:space="0" w:color="auto"/>
            <w:right w:val="none" w:sz="0" w:space="0" w:color="auto"/>
          </w:divBdr>
          <w:divsChild>
            <w:div w:id="2068910801">
              <w:marLeft w:val="0"/>
              <w:marRight w:val="0"/>
              <w:marTop w:val="0"/>
              <w:marBottom w:val="0"/>
              <w:divBdr>
                <w:top w:val="none" w:sz="0" w:space="0" w:color="auto"/>
                <w:left w:val="none" w:sz="0" w:space="0" w:color="auto"/>
                <w:bottom w:val="none" w:sz="0" w:space="0" w:color="auto"/>
                <w:right w:val="none" w:sz="0" w:space="0" w:color="auto"/>
              </w:divBdr>
              <w:divsChild>
                <w:div w:id="928737167">
                  <w:marLeft w:val="0"/>
                  <w:marRight w:val="0"/>
                  <w:marTop w:val="0"/>
                  <w:marBottom w:val="0"/>
                  <w:divBdr>
                    <w:top w:val="none" w:sz="0" w:space="0" w:color="auto"/>
                    <w:left w:val="none" w:sz="0" w:space="0" w:color="auto"/>
                    <w:bottom w:val="none" w:sz="0" w:space="0" w:color="auto"/>
                    <w:right w:val="none" w:sz="0" w:space="0" w:color="auto"/>
                  </w:divBdr>
                  <w:divsChild>
                    <w:div w:id="9646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9934">
          <w:marLeft w:val="0"/>
          <w:marRight w:val="0"/>
          <w:marTop w:val="0"/>
          <w:marBottom w:val="0"/>
          <w:divBdr>
            <w:top w:val="none" w:sz="0" w:space="0" w:color="auto"/>
            <w:left w:val="none" w:sz="0" w:space="0" w:color="auto"/>
            <w:bottom w:val="none" w:sz="0" w:space="0" w:color="auto"/>
            <w:right w:val="none" w:sz="0" w:space="0" w:color="auto"/>
          </w:divBdr>
          <w:divsChild>
            <w:div w:id="108474788">
              <w:marLeft w:val="0"/>
              <w:marRight w:val="0"/>
              <w:marTop w:val="0"/>
              <w:marBottom w:val="0"/>
              <w:divBdr>
                <w:top w:val="none" w:sz="0" w:space="0" w:color="auto"/>
                <w:left w:val="none" w:sz="0" w:space="0" w:color="auto"/>
                <w:bottom w:val="none" w:sz="0" w:space="0" w:color="auto"/>
                <w:right w:val="none" w:sz="0" w:space="0" w:color="auto"/>
              </w:divBdr>
              <w:divsChild>
                <w:div w:id="1660692363">
                  <w:marLeft w:val="0"/>
                  <w:marRight w:val="0"/>
                  <w:marTop w:val="0"/>
                  <w:marBottom w:val="0"/>
                  <w:divBdr>
                    <w:top w:val="none" w:sz="0" w:space="0" w:color="auto"/>
                    <w:left w:val="none" w:sz="0" w:space="0" w:color="auto"/>
                    <w:bottom w:val="none" w:sz="0" w:space="0" w:color="auto"/>
                    <w:right w:val="none" w:sz="0" w:space="0" w:color="auto"/>
                  </w:divBdr>
                  <w:divsChild>
                    <w:div w:id="1912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914">
          <w:marLeft w:val="0"/>
          <w:marRight w:val="0"/>
          <w:marTop w:val="0"/>
          <w:marBottom w:val="0"/>
          <w:divBdr>
            <w:top w:val="none" w:sz="0" w:space="0" w:color="auto"/>
            <w:left w:val="none" w:sz="0" w:space="0" w:color="auto"/>
            <w:bottom w:val="none" w:sz="0" w:space="0" w:color="auto"/>
            <w:right w:val="none" w:sz="0" w:space="0" w:color="auto"/>
          </w:divBdr>
          <w:divsChild>
            <w:div w:id="755712508">
              <w:marLeft w:val="0"/>
              <w:marRight w:val="0"/>
              <w:marTop w:val="0"/>
              <w:marBottom w:val="0"/>
              <w:divBdr>
                <w:top w:val="none" w:sz="0" w:space="0" w:color="auto"/>
                <w:left w:val="none" w:sz="0" w:space="0" w:color="auto"/>
                <w:bottom w:val="none" w:sz="0" w:space="0" w:color="auto"/>
                <w:right w:val="none" w:sz="0" w:space="0" w:color="auto"/>
              </w:divBdr>
              <w:divsChild>
                <w:div w:id="1640064538">
                  <w:marLeft w:val="0"/>
                  <w:marRight w:val="0"/>
                  <w:marTop w:val="0"/>
                  <w:marBottom w:val="0"/>
                  <w:divBdr>
                    <w:top w:val="none" w:sz="0" w:space="0" w:color="auto"/>
                    <w:left w:val="none" w:sz="0" w:space="0" w:color="auto"/>
                    <w:bottom w:val="none" w:sz="0" w:space="0" w:color="auto"/>
                    <w:right w:val="none" w:sz="0" w:space="0" w:color="auto"/>
                  </w:divBdr>
                  <w:divsChild>
                    <w:div w:id="14071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71196">
          <w:marLeft w:val="0"/>
          <w:marRight w:val="0"/>
          <w:marTop w:val="0"/>
          <w:marBottom w:val="0"/>
          <w:divBdr>
            <w:top w:val="none" w:sz="0" w:space="0" w:color="auto"/>
            <w:left w:val="none" w:sz="0" w:space="0" w:color="auto"/>
            <w:bottom w:val="none" w:sz="0" w:space="0" w:color="auto"/>
            <w:right w:val="none" w:sz="0" w:space="0" w:color="auto"/>
          </w:divBdr>
          <w:divsChild>
            <w:div w:id="1911620242">
              <w:marLeft w:val="0"/>
              <w:marRight w:val="0"/>
              <w:marTop w:val="0"/>
              <w:marBottom w:val="0"/>
              <w:divBdr>
                <w:top w:val="none" w:sz="0" w:space="0" w:color="auto"/>
                <w:left w:val="none" w:sz="0" w:space="0" w:color="auto"/>
                <w:bottom w:val="none" w:sz="0" w:space="0" w:color="auto"/>
                <w:right w:val="none" w:sz="0" w:space="0" w:color="auto"/>
              </w:divBdr>
              <w:divsChild>
                <w:div w:id="231694823">
                  <w:marLeft w:val="0"/>
                  <w:marRight w:val="0"/>
                  <w:marTop w:val="0"/>
                  <w:marBottom w:val="0"/>
                  <w:divBdr>
                    <w:top w:val="none" w:sz="0" w:space="0" w:color="auto"/>
                    <w:left w:val="none" w:sz="0" w:space="0" w:color="auto"/>
                    <w:bottom w:val="none" w:sz="0" w:space="0" w:color="auto"/>
                    <w:right w:val="none" w:sz="0" w:space="0" w:color="auto"/>
                  </w:divBdr>
                  <w:divsChild>
                    <w:div w:id="1436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448">
          <w:marLeft w:val="0"/>
          <w:marRight w:val="0"/>
          <w:marTop w:val="0"/>
          <w:marBottom w:val="0"/>
          <w:divBdr>
            <w:top w:val="none" w:sz="0" w:space="0" w:color="auto"/>
            <w:left w:val="none" w:sz="0" w:space="0" w:color="auto"/>
            <w:bottom w:val="none" w:sz="0" w:space="0" w:color="auto"/>
            <w:right w:val="none" w:sz="0" w:space="0" w:color="auto"/>
          </w:divBdr>
          <w:divsChild>
            <w:div w:id="901595059">
              <w:marLeft w:val="0"/>
              <w:marRight w:val="0"/>
              <w:marTop w:val="0"/>
              <w:marBottom w:val="0"/>
              <w:divBdr>
                <w:top w:val="none" w:sz="0" w:space="0" w:color="auto"/>
                <w:left w:val="none" w:sz="0" w:space="0" w:color="auto"/>
                <w:bottom w:val="none" w:sz="0" w:space="0" w:color="auto"/>
                <w:right w:val="none" w:sz="0" w:space="0" w:color="auto"/>
              </w:divBdr>
              <w:divsChild>
                <w:div w:id="975181817">
                  <w:marLeft w:val="0"/>
                  <w:marRight w:val="0"/>
                  <w:marTop w:val="0"/>
                  <w:marBottom w:val="0"/>
                  <w:divBdr>
                    <w:top w:val="none" w:sz="0" w:space="0" w:color="auto"/>
                    <w:left w:val="none" w:sz="0" w:space="0" w:color="auto"/>
                    <w:bottom w:val="none" w:sz="0" w:space="0" w:color="auto"/>
                    <w:right w:val="none" w:sz="0" w:space="0" w:color="auto"/>
                  </w:divBdr>
                  <w:divsChild>
                    <w:div w:id="914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2</cp:revision>
  <dcterms:created xsi:type="dcterms:W3CDTF">2026-08-21T13:43:00Z</dcterms:created>
  <dcterms:modified xsi:type="dcterms:W3CDTF">2026-08-21T13:44:00Z</dcterms:modified>
</cp:coreProperties>
</file>