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</w:t>
      </w:r>
      <w:r w:rsidRPr="00D306A0">
        <w:t xml:space="preserve"> </w:t>
      </w:r>
      <w:r w:rsidRPr="00D306A0">
        <w:rPr>
          <w:b/>
          <w:bCs/>
        </w:rPr>
        <w:t>Replacement / Upgrade of Pneumatic Tube Systems in a Hospital</w:t>
      </w:r>
      <w:r w:rsidRPr="00D306A0">
        <w:t xml:space="preserve"> </w:t>
      </w:r>
      <w:r w:rsidRPr="00D306A0">
        <w:rPr>
          <w:b/>
          <w:bCs/>
        </w:rPr>
        <w:t>Aligned to RIBA Plan of Work 2020 &amp; relevant Standards</w:t>
      </w:r>
    </w:p>
    <w:p w14:paraId="5C0A4710" w14:textId="77777777" w:rsidR="00D306A0" w:rsidRPr="00D306A0" w:rsidRDefault="00D306A0" w:rsidP="00D306A0">
      <w:r w:rsidRPr="00D306A0">
        <w:t xml:space="preserve">This checklist follows the exact same format as the Electrical Services, Domestic Hot &amp; Cold Water, Chilled Water, Steam, Fire Suppression, Security, Medical Gas, Lifts and BMS checklists. It is intended for projects involving the replacement, major upgrade or significant modification of </w:t>
      </w:r>
      <w:r w:rsidRPr="00D306A0">
        <w:rPr>
          <w:b/>
          <w:bCs/>
        </w:rPr>
        <w:t>Pneumatic Tube Systems (PTS)</w:t>
      </w:r>
      <w:r w:rsidRPr="00D306A0">
        <w:t xml:space="preserve"> in hospital premises (tube network, stations, blowers/compressors, carriers, control systems, and associated software).</w:t>
      </w:r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Manufacturer standards and technical guidelines SHTM 00 – Policies and principles</w:t>
            </w:r>
          </w:p>
        </w:tc>
      </w:tr>
      <w:tr w:rsidR="00D306A0" w:rsidRPr="00D306A0" w14:paraId="6A03371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3B3" w14:textId="77777777" w:rsidR="00D306A0" w:rsidRPr="00D306A0" w:rsidRDefault="00D306A0" w:rsidP="00D306A0">
            <w:r w:rsidRPr="00D306A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1F1B0107" w14:textId="77777777" w:rsidR="00D306A0" w:rsidRPr="00D306A0" w:rsidRDefault="00D306A0" w:rsidP="00D306A0">
            <w:r w:rsidRPr="00D306A0">
              <w:t>Clinical risk assessment &amp; Infection Prevention &amp; Control (IPC) requirements SHTM 06 series (Electrical power) Noise guidance (SHTM 08-01 Acoustics where relevant) CDM 2015</w:t>
            </w:r>
          </w:p>
        </w:tc>
      </w:tr>
      <w:tr w:rsidR="00D306A0" w:rsidRPr="00D306A0" w14:paraId="7F0634D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256F" w14:textId="77777777" w:rsidR="00D306A0" w:rsidRPr="00D306A0" w:rsidRDefault="00D306A0" w:rsidP="00D306A0">
            <w:r w:rsidRPr="00D306A0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21B6DB42" w14:textId="77777777" w:rsidR="00D306A0" w:rsidRPr="00D306A0" w:rsidRDefault="00D306A0" w:rsidP="00D306A0">
            <w:r w:rsidRPr="00D306A0">
              <w:t>Clinical workflow (laboratories, pharmacy, blood bank, theatres, wards) Carrier tracking, priority routing, contamination control and system resilience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Pneumatic tube systems are clinically critical for timely transport of specimens, blood products, medicines and documents.</w:t>
      </w:r>
    </w:p>
    <w:p w14:paraId="3A34828A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service to key departments (lab, pharmacy, blood bank, critical care, theatres) must be maintained during the works.</w:t>
      </w:r>
    </w:p>
    <w:p w14:paraId="0B80BA08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Infection prevention, leak-tightness, cleanability and carrier hygiene are essential.</w:t>
      </w:r>
    </w:p>
    <w:p w14:paraId="646D8CD6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System design must support prioritisation, tracking, audit trails and future expandability.</w:t>
      </w:r>
    </w:p>
    <w:p w14:paraId="59C0D5F7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Strong clinical stakeholder engagement is required throughout.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Business case / need identification (system age, reliability, capacity, downtime impact, clinical risk)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78AC2DE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5722" w14:textId="77777777" w:rsidR="00D306A0" w:rsidRPr="00D306A0" w:rsidRDefault="00D306A0" w:rsidP="00D306A0">
            <w:r w:rsidRPr="00D306A0">
              <w:t>Strategic brief &amp; project outcomes (clinical turnaround times, resilience, expandable network, infection control)</w:t>
            </w:r>
          </w:p>
        </w:tc>
        <w:tc>
          <w:tcPr>
            <w:tcW w:w="0" w:type="auto"/>
            <w:vAlign w:val="center"/>
            <w:hideMark/>
          </w:tcPr>
          <w:p w14:paraId="047567C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71C0302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094E8D3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F062" w14:textId="77777777" w:rsidR="00D306A0" w:rsidRPr="00D306A0" w:rsidRDefault="00D306A0" w:rsidP="00D306A0">
            <w:r w:rsidRPr="00D306A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7B377DA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ADC1CEE" w14:textId="77777777" w:rsidR="00D306A0" w:rsidRPr="00D306A0" w:rsidRDefault="00D306A0" w:rsidP="00D306A0">
            <w:r w:rsidRPr="00D306A0">
              <w:t>Clinical risk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Brief (scope of network, stations, capacity, priority routing, integration needs)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1D7DB5E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FA8B" w14:textId="77777777" w:rsidR="00D306A0" w:rsidRPr="00D306A0" w:rsidRDefault="00D306A0" w:rsidP="00D306A0">
            <w:r w:rsidRPr="00D306A0">
              <w:t>Existing system condition surveys (tubes, stations, blowers, carriers, control system, leakage, performance)</w:t>
            </w:r>
          </w:p>
        </w:tc>
        <w:tc>
          <w:tcPr>
            <w:tcW w:w="0" w:type="auto"/>
            <w:vAlign w:val="center"/>
            <w:hideMark/>
          </w:tcPr>
          <w:p w14:paraId="42678D0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998FF10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35954AC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DF8B" w14:textId="77777777" w:rsidR="00D306A0" w:rsidRPr="00D306A0" w:rsidRDefault="00D306A0" w:rsidP="00D306A0">
            <w:r w:rsidRPr="00D306A0">
              <w:t>Clinical workflow and demand analysis (lab, pharmacy, blood bank, theatres, wards)</w:t>
            </w:r>
          </w:p>
        </w:tc>
        <w:tc>
          <w:tcPr>
            <w:tcW w:w="0" w:type="auto"/>
            <w:vAlign w:val="center"/>
            <w:hideMark/>
          </w:tcPr>
          <w:p w14:paraId="2164DC4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56317D0" w14:textId="77777777" w:rsidR="00D306A0" w:rsidRPr="00D306A0" w:rsidRDefault="00D306A0" w:rsidP="00D306A0">
            <w:r w:rsidRPr="00D306A0">
              <w:t>Clinical stakeholders</w:t>
            </w:r>
          </w:p>
        </w:tc>
      </w:tr>
      <w:tr w:rsidR="00D306A0" w:rsidRPr="00D306A0" w14:paraId="65DE522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6677" w14:textId="77777777" w:rsidR="00D306A0" w:rsidRPr="00D306A0" w:rsidRDefault="00D306A0" w:rsidP="00D306A0">
            <w:r w:rsidRPr="00D306A0">
              <w:t>Initial risk register (loss of service, specimen integrity, infection, noise, access)</w:t>
            </w:r>
          </w:p>
        </w:tc>
        <w:tc>
          <w:tcPr>
            <w:tcW w:w="0" w:type="auto"/>
            <w:vAlign w:val="center"/>
            <w:hideMark/>
          </w:tcPr>
          <w:p w14:paraId="22A4BE5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5270B04" w14:textId="77777777" w:rsidR="00D306A0" w:rsidRPr="00D306A0" w:rsidRDefault="00D306A0" w:rsidP="00D306A0">
            <w:r w:rsidRPr="00D306A0">
              <w:t>SHTM 00, CDM, IPC</w:t>
            </w:r>
          </w:p>
        </w:tc>
      </w:tr>
      <w:tr w:rsidR="00D306A0" w:rsidRPr="00D306A0" w14:paraId="2642E1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5067" w14:textId="77777777" w:rsidR="00D306A0" w:rsidRPr="00D306A0" w:rsidRDefault="00D306A0" w:rsidP="00D306A0">
            <w:r w:rsidRPr="00D306A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CD335A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DBEA814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3698D91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9971" w14:textId="77777777" w:rsidR="00D306A0" w:rsidRPr="00D306A0" w:rsidRDefault="00D306A0" w:rsidP="00D306A0">
            <w:r w:rsidRPr="00D306A0">
              <w:t>Engagement with Pathology, Pharmacy, Blood Bank, Theatres, Critical Care, IPC and Estates</w:t>
            </w:r>
          </w:p>
        </w:tc>
        <w:tc>
          <w:tcPr>
            <w:tcW w:w="0" w:type="auto"/>
            <w:vAlign w:val="center"/>
            <w:hideMark/>
          </w:tcPr>
          <w:p w14:paraId="2CE0893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CFC3AD3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Concept design options (network topology, station types, blower strategy, carrier technology, software)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2215751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24FC" w14:textId="77777777" w:rsidR="00D306A0" w:rsidRPr="00D306A0" w:rsidRDefault="00D306A0" w:rsidP="00D306A0">
            <w:r w:rsidRPr="00D306A0">
              <w:t>Outline system strategy (routing, prioritisation, redundancy, future expansion)</w:t>
            </w:r>
          </w:p>
        </w:tc>
        <w:tc>
          <w:tcPr>
            <w:tcW w:w="0" w:type="auto"/>
            <w:vAlign w:val="center"/>
            <w:hideMark/>
          </w:tcPr>
          <w:p w14:paraId="0293A61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556E829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5761F20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D2FF" w14:textId="77777777" w:rsidR="00D306A0" w:rsidRPr="00D306A0" w:rsidRDefault="00D306A0" w:rsidP="00D306A0">
            <w:r w:rsidRPr="00D306A0">
              <w:lastRenderedPageBreak/>
              <w:t>Preliminary station location plan and tube routing strategy</w:t>
            </w:r>
          </w:p>
        </w:tc>
        <w:tc>
          <w:tcPr>
            <w:tcW w:w="0" w:type="auto"/>
            <w:vAlign w:val="center"/>
            <w:hideMark/>
          </w:tcPr>
          <w:p w14:paraId="67BD44F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30BD11B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3F291D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65CA" w14:textId="77777777" w:rsidR="00D306A0" w:rsidRPr="00D306A0" w:rsidRDefault="00D306A0" w:rsidP="00D306A0">
            <w:r w:rsidRPr="00D306A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0F40CF6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4614DCD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220E6C1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627B" w14:textId="77777777" w:rsidR="00D306A0" w:rsidRPr="00D306A0" w:rsidRDefault="00D306A0" w:rsidP="00D306A0">
            <w:r w:rsidRPr="00D306A0">
              <w:t>Design risk assessment (including clinical and IPC risks)</w:t>
            </w:r>
          </w:p>
        </w:tc>
        <w:tc>
          <w:tcPr>
            <w:tcW w:w="0" w:type="auto"/>
            <w:vAlign w:val="center"/>
            <w:hideMark/>
          </w:tcPr>
          <w:p w14:paraId="5ABBFB2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89FB5CD" w14:textId="77777777" w:rsidR="00D306A0" w:rsidRPr="00D306A0" w:rsidRDefault="00D306A0" w:rsidP="00D306A0">
            <w:r w:rsidRPr="00D306A0">
              <w:t>CDM, IPC</w:t>
            </w:r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Coordinated design (tube routes, station locations, blower plant, access for maintenance)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25ECF26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D4CA" w14:textId="77777777" w:rsidR="00D306A0" w:rsidRPr="00D306A0" w:rsidRDefault="00D306A0" w:rsidP="00D306A0">
            <w:r w:rsidRPr="00D306A0">
              <w:t>Spatial coordination with structure, ceilings, other services, fire compartments and clinical layouts</w:t>
            </w:r>
          </w:p>
        </w:tc>
        <w:tc>
          <w:tcPr>
            <w:tcW w:w="0" w:type="auto"/>
            <w:vAlign w:val="center"/>
            <w:hideMark/>
          </w:tcPr>
          <w:p w14:paraId="101810D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64BD31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88DE30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B20A" w14:textId="77777777" w:rsidR="00D306A0" w:rsidRPr="00D306A0" w:rsidRDefault="00D306A0" w:rsidP="00D306A0">
            <w:r w:rsidRPr="00D306A0">
              <w:t>Updated cost plan, risk register &amp; high-level phasing / temporary transport strategy</w:t>
            </w:r>
          </w:p>
        </w:tc>
        <w:tc>
          <w:tcPr>
            <w:tcW w:w="0" w:type="auto"/>
            <w:vAlign w:val="center"/>
            <w:hideMark/>
          </w:tcPr>
          <w:p w14:paraId="7DE6E1D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D7264B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0B4D811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09CC" w14:textId="77777777" w:rsidR="00D306A0" w:rsidRPr="00D306A0" w:rsidRDefault="00D306A0" w:rsidP="00D306A0">
            <w:r w:rsidRPr="00D306A0">
              <w:t>Confirmation of critical department resilience requirements</w:t>
            </w:r>
          </w:p>
        </w:tc>
        <w:tc>
          <w:tcPr>
            <w:tcW w:w="0" w:type="auto"/>
            <w:vAlign w:val="center"/>
            <w:hideMark/>
          </w:tcPr>
          <w:p w14:paraId="2E2080B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FF5FF3D" w14:textId="77777777" w:rsidR="00D306A0" w:rsidRPr="00D306A0" w:rsidRDefault="00D306A0" w:rsidP="00D306A0">
            <w:r w:rsidRPr="00D306A0">
              <w:t>Clinical stakeholders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Full technical design drawings, network schematics and station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Manufacturer standards</w:t>
            </w:r>
          </w:p>
        </w:tc>
      </w:tr>
      <w:tr w:rsidR="00D306A0" w:rsidRPr="00D306A0" w14:paraId="792B7F6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3739" w14:textId="77777777" w:rsidR="00D306A0" w:rsidRPr="00D306A0" w:rsidRDefault="00D306A0" w:rsidP="00D306A0">
            <w:r w:rsidRPr="00D306A0">
              <w:t>Detailed specifications (tubing, stations, diverters, blowers/compressors, carriers, control system, software)</w:t>
            </w:r>
          </w:p>
        </w:tc>
        <w:tc>
          <w:tcPr>
            <w:tcW w:w="0" w:type="auto"/>
            <w:vAlign w:val="center"/>
            <w:hideMark/>
          </w:tcPr>
          <w:p w14:paraId="73E2473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AD21990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6395021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874F" w14:textId="77777777" w:rsidR="00D306A0" w:rsidRPr="00D306A0" w:rsidRDefault="00D306A0" w:rsidP="00D306A0">
            <w:r w:rsidRPr="00D306A0">
              <w:t>Carrier tracking, prioritisation, alarm and audit trail design</w:t>
            </w:r>
          </w:p>
        </w:tc>
        <w:tc>
          <w:tcPr>
            <w:tcW w:w="0" w:type="auto"/>
            <w:vAlign w:val="center"/>
            <w:hideMark/>
          </w:tcPr>
          <w:p w14:paraId="2C2AA2F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ABA9938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6BC7964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F2DC" w14:textId="77777777" w:rsidR="00D306A0" w:rsidRPr="00D306A0" w:rsidRDefault="00D306A0" w:rsidP="00D306A0">
            <w:r w:rsidRPr="00D306A0">
              <w:t>Power, control and network design</w:t>
            </w:r>
          </w:p>
        </w:tc>
        <w:tc>
          <w:tcPr>
            <w:tcW w:w="0" w:type="auto"/>
            <w:vAlign w:val="center"/>
            <w:hideMark/>
          </w:tcPr>
          <w:p w14:paraId="08DADF3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FB19C57" w14:textId="77777777" w:rsidR="00D306A0" w:rsidRPr="00D306A0" w:rsidRDefault="00D306A0" w:rsidP="00D306A0">
            <w:r w:rsidRPr="00D306A0">
              <w:t>SHTM 06 series</w:t>
            </w:r>
          </w:p>
        </w:tc>
      </w:tr>
      <w:tr w:rsidR="00D306A0" w:rsidRPr="00D306A0" w14:paraId="09AA413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6E51" w14:textId="77777777" w:rsidR="00D306A0" w:rsidRPr="00D306A0" w:rsidRDefault="00D306A0" w:rsidP="00D306A0">
            <w:r w:rsidRPr="00D306A0">
              <w:lastRenderedPageBreak/>
              <w:t>Infection control and cleanability features</w:t>
            </w:r>
          </w:p>
        </w:tc>
        <w:tc>
          <w:tcPr>
            <w:tcW w:w="0" w:type="auto"/>
            <w:vAlign w:val="center"/>
            <w:hideMark/>
          </w:tcPr>
          <w:p w14:paraId="3D80FB8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83D7B27" w14:textId="77777777" w:rsidR="00D306A0" w:rsidRPr="00D306A0" w:rsidRDefault="00D306A0" w:rsidP="00D306A0">
            <w:r w:rsidRPr="00D306A0">
              <w:t>IPC guidance</w:t>
            </w:r>
          </w:p>
        </w:tc>
      </w:tr>
      <w:tr w:rsidR="00D306A0" w:rsidRPr="00D306A0" w14:paraId="68509AE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923B" w14:textId="77777777" w:rsidR="00D306A0" w:rsidRPr="00D306A0" w:rsidRDefault="00D306A0" w:rsidP="00D306A0">
            <w:r w:rsidRPr="00D306A0">
              <w:t>Noise and vibration considerations</w:t>
            </w:r>
          </w:p>
        </w:tc>
        <w:tc>
          <w:tcPr>
            <w:tcW w:w="0" w:type="auto"/>
            <w:vAlign w:val="center"/>
            <w:hideMark/>
          </w:tcPr>
          <w:p w14:paraId="7C17CFCD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88BDAAB" w14:textId="77777777" w:rsidR="00D306A0" w:rsidRPr="00D306A0" w:rsidRDefault="00D306A0" w:rsidP="00D306A0">
            <w:r w:rsidRPr="00D306A0">
              <w:t>SHTM 08-01 where relevant</w:t>
            </w:r>
          </w:p>
        </w:tc>
      </w:tr>
      <w:tr w:rsidR="00D306A0" w:rsidRPr="00D306A0" w14:paraId="61E3BC4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6B86" w14:textId="77777777" w:rsidR="00D306A0" w:rsidRPr="00D306A0" w:rsidRDefault="00D306A0" w:rsidP="00D306A0">
            <w:r w:rsidRPr="00D306A0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2FF3DFF4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9E35940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4213D2E1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A2F7" w14:textId="77777777" w:rsidR="00D306A0" w:rsidRPr="00D306A0" w:rsidRDefault="00D306A0" w:rsidP="00D306A0">
            <w:r w:rsidRPr="00D306A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B0AE04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5B4A07A3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6DAFAF2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D357" w14:textId="77777777" w:rsidR="00D306A0" w:rsidRPr="00D306A0" w:rsidRDefault="00D306A0" w:rsidP="00D306A0">
            <w:r w:rsidRPr="00D306A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14F15CAB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A7CB81C" w14:textId="77777777" w:rsidR="00D306A0" w:rsidRPr="00D306A0" w:rsidRDefault="00D306A0" w:rsidP="00D306A0">
            <w:r w:rsidRPr="00D306A0">
              <w:t>CDM, IPC</w:t>
            </w:r>
          </w:p>
        </w:tc>
      </w:tr>
      <w:tr w:rsidR="00D306A0" w:rsidRPr="00D306A0" w14:paraId="68DFF8E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93F1" w14:textId="77777777" w:rsidR="00D306A0" w:rsidRPr="00D306A0" w:rsidRDefault="00D306A0" w:rsidP="00D306A0">
            <w:r w:rsidRPr="00D306A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4D982D6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2120894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57597AD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4EF1" w14:textId="77777777" w:rsidR="00D306A0" w:rsidRPr="00D306A0" w:rsidRDefault="00D306A0" w:rsidP="00D306A0">
            <w:r w:rsidRPr="00D306A0">
              <w:t>Clinical and IPC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374D6704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F75DAD9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Contractor method statements, detailed phasing &amp; temporary specimen/medicine transport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Critical for clinical service</w:t>
            </w:r>
          </w:p>
        </w:tc>
      </w:tr>
      <w:tr w:rsidR="00D306A0" w:rsidRPr="00D306A0" w14:paraId="5C47C21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8BF" w14:textId="77777777" w:rsidR="00D306A0" w:rsidRPr="00D306A0" w:rsidRDefault="00D306A0" w:rsidP="00D306A0">
            <w:r w:rsidRPr="00D306A0">
              <w:t>Material &amp; equipment certificates (tubing, stations, blowers, carriers, software)</w:t>
            </w:r>
          </w:p>
        </w:tc>
        <w:tc>
          <w:tcPr>
            <w:tcW w:w="0" w:type="auto"/>
            <w:vAlign w:val="center"/>
            <w:hideMark/>
          </w:tcPr>
          <w:p w14:paraId="06EA3DD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35202F1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53D6F8A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E29" w14:textId="77777777" w:rsidR="00D306A0" w:rsidRPr="00D306A0" w:rsidRDefault="00D306A0" w:rsidP="00D306A0">
            <w:r w:rsidRPr="00D306A0">
              <w:t>Installation of tube network, stations, diverters, blower plant and controls</w:t>
            </w:r>
          </w:p>
        </w:tc>
        <w:tc>
          <w:tcPr>
            <w:tcW w:w="0" w:type="auto"/>
            <w:vAlign w:val="center"/>
            <w:hideMark/>
          </w:tcPr>
          <w:p w14:paraId="1507E60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B0FAFC5" w14:textId="77777777" w:rsidR="00D306A0" w:rsidRPr="00D306A0" w:rsidRDefault="00D306A0" w:rsidP="00D306A0">
            <w:r w:rsidRPr="00D306A0">
              <w:t>Manufacturer standards</w:t>
            </w:r>
          </w:p>
        </w:tc>
      </w:tr>
      <w:tr w:rsidR="00D306A0" w:rsidRPr="00D306A0" w14:paraId="7C1C417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E6DE" w14:textId="77777777" w:rsidR="00D306A0" w:rsidRPr="00D306A0" w:rsidRDefault="00D306A0" w:rsidP="00D306A0">
            <w:r w:rsidRPr="00D306A0">
              <w:t>Pressure / leakage testing and integrity records</w:t>
            </w:r>
          </w:p>
        </w:tc>
        <w:tc>
          <w:tcPr>
            <w:tcW w:w="0" w:type="auto"/>
            <w:vAlign w:val="center"/>
            <w:hideMark/>
          </w:tcPr>
          <w:p w14:paraId="7F01BD3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0C40C65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4CEFE33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D2E9" w14:textId="77777777" w:rsidR="00D306A0" w:rsidRPr="00D306A0" w:rsidRDefault="00D306A0" w:rsidP="00D306A0">
            <w:r w:rsidRPr="00D306A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E331CDF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9E763E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0905002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8AF4" w14:textId="77777777" w:rsidR="00D306A0" w:rsidRPr="00D306A0" w:rsidRDefault="00D306A0" w:rsidP="00D306A0">
            <w:r w:rsidRPr="00D306A0">
              <w:t>Temporary transport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18F88CC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23D9BD7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7A76B10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52D1" w14:textId="77777777" w:rsidR="00D306A0" w:rsidRPr="00D306A0" w:rsidRDefault="00D306A0" w:rsidP="00D306A0">
            <w:r w:rsidRPr="00D306A0">
              <w:lastRenderedPageBreak/>
              <w:t>Decommissioning &amp; strip-out records of redundant pneumatic tube equipment</w:t>
            </w:r>
          </w:p>
        </w:tc>
        <w:tc>
          <w:tcPr>
            <w:tcW w:w="0" w:type="auto"/>
            <w:vAlign w:val="center"/>
            <w:hideMark/>
          </w:tcPr>
          <w:p w14:paraId="7327D99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5AD36280" w14:textId="77777777" w:rsidR="00D306A0" w:rsidRPr="00D306A0" w:rsidRDefault="00D306A0" w:rsidP="00D306A0">
            <w:r w:rsidRPr="00D306A0">
              <w:t>—</w:t>
            </w:r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Full commissioning, functional testing and performance verification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7323202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3A1A" w14:textId="77777777" w:rsidR="00D306A0" w:rsidRPr="00D306A0" w:rsidRDefault="00D306A0" w:rsidP="00D306A0">
            <w:r w:rsidRPr="00D306A0">
              <w:t>Carrier transit time, prioritisation, tracking and empty carrier management tests</w:t>
            </w:r>
          </w:p>
        </w:tc>
        <w:tc>
          <w:tcPr>
            <w:tcW w:w="0" w:type="auto"/>
            <w:vAlign w:val="center"/>
            <w:hideMark/>
          </w:tcPr>
          <w:p w14:paraId="08F8CA7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B7C1AF6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4AFDE43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D793" w14:textId="77777777" w:rsidR="00D306A0" w:rsidRPr="00D306A0" w:rsidRDefault="00D306A0" w:rsidP="00D306A0">
            <w:r w:rsidRPr="00D306A0">
              <w:t>Leakage, pressure and system integrity verification</w:t>
            </w:r>
          </w:p>
        </w:tc>
        <w:tc>
          <w:tcPr>
            <w:tcW w:w="0" w:type="auto"/>
            <w:vAlign w:val="center"/>
            <w:hideMark/>
          </w:tcPr>
          <w:p w14:paraId="5A1EFBC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1AE68F8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AD1D9A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B7AC" w14:textId="77777777" w:rsidR="00D306A0" w:rsidRPr="00D306A0" w:rsidRDefault="00D306A0" w:rsidP="00D306A0">
            <w:r w:rsidRPr="00D306A0">
              <w:t>As-fitted drawings, network schematics, station schedules and configuration records</w:t>
            </w:r>
          </w:p>
        </w:tc>
        <w:tc>
          <w:tcPr>
            <w:tcW w:w="0" w:type="auto"/>
            <w:vAlign w:val="center"/>
            <w:hideMark/>
          </w:tcPr>
          <w:p w14:paraId="7A1B02F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94DDADA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D6058B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AA45" w14:textId="77777777" w:rsidR="00D306A0" w:rsidRPr="00D306A0" w:rsidRDefault="00D306A0" w:rsidP="00D306A0">
            <w:r w:rsidRPr="00D306A0">
              <w:t>Comprehensive O&amp;M manuals, user guides and administrator documentation</w:t>
            </w:r>
          </w:p>
        </w:tc>
        <w:tc>
          <w:tcPr>
            <w:tcW w:w="0" w:type="auto"/>
            <w:vAlign w:val="center"/>
            <w:hideMark/>
          </w:tcPr>
          <w:p w14:paraId="186BE14D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DAEFE57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60CE7D1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9AA2" w14:textId="77777777" w:rsidR="00D306A0" w:rsidRPr="00D306A0" w:rsidRDefault="00D306A0" w:rsidP="00D306A0">
            <w:r w:rsidRPr="00D306A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A91022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80B9E8E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ADC80A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841D" w14:textId="77777777" w:rsidR="00D306A0" w:rsidRPr="00D306A0" w:rsidRDefault="00D306A0" w:rsidP="00D306A0">
            <w:r w:rsidRPr="00D306A0">
              <w:t>Training &amp; demonstration records for clinical users, porters and estates staff</w:t>
            </w:r>
          </w:p>
        </w:tc>
        <w:tc>
          <w:tcPr>
            <w:tcW w:w="0" w:type="auto"/>
            <w:vAlign w:val="center"/>
            <w:hideMark/>
          </w:tcPr>
          <w:p w14:paraId="0B56458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7B6CCD3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00694AC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B9B7" w14:textId="77777777" w:rsidR="00D306A0" w:rsidRPr="00D306A0" w:rsidRDefault="00D306A0" w:rsidP="00D306A0">
            <w:r w:rsidRPr="00D306A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4FC48CC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2598C54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BDA7E6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B372" w14:textId="77777777" w:rsidR="00D306A0" w:rsidRPr="00D306A0" w:rsidRDefault="00D306A0" w:rsidP="00D306A0">
            <w:r w:rsidRPr="00D306A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8FEFFA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9A14B82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666E5E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6739" w14:textId="77777777" w:rsidR="00D306A0" w:rsidRPr="00D306A0" w:rsidRDefault="00D306A0" w:rsidP="00D306A0">
            <w:r w:rsidRPr="00D306A0">
              <w:t>Formal clinical and client acceptance</w:t>
            </w:r>
          </w:p>
        </w:tc>
        <w:tc>
          <w:tcPr>
            <w:tcW w:w="0" w:type="auto"/>
            <w:vAlign w:val="center"/>
            <w:hideMark/>
          </w:tcPr>
          <w:p w14:paraId="53F4D0D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1FBDD54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Soft landings / post-occupancy review (transit times, reliability, usability, clinical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F5ABDF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6237" w14:textId="77777777" w:rsidR="00D306A0" w:rsidRPr="00D306A0" w:rsidRDefault="00D306A0" w:rsidP="00D306A0">
            <w:r w:rsidRPr="00D306A0">
              <w:lastRenderedPageBreak/>
              <w:t>Updated operational procedures, prioritisation rules and contingency plans</w:t>
            </w:r>
          </w:p>
        </w:tc>
        <w:tc>
          <w:tcPr>
            <w:tcW w:w="0" w:type="auto"/>
            <w:vAlign w:val="center"/>
            <w:hideMark/>
          </w:tcPr>
          <w:p w14:paraId="52A5C9A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D35ADD6" w14:textId="77777777" w:rsidR="00D306A0" w:rsidRPr="00D306A0" w:rsidRDefault="00D306A0" w:rsidP="00D306A0">
            <w:r w:rsidRPr="00D306A0">
              <w:t>Clinical stakeholders</w:t>
            </w:r>
          </w:p>
        </w:tc>
      </w:tr>
      <w:tr w:rsidR="00D306A0" w:rsidRPr="00D306A0" w14:paraId="7C5CB6D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652E" w14:textId="77777777" w:rsidR="00D306A0" w:rsidRPr="00D306A0" w:rsidRDefault="00D306A0" w:rsidP="00D306A0">
            <w:r w:rsidRPr="00D306A0">
              <w:t>Ongoing maintenance, carrier hygiene and performance monitoring regime</w:t>
            </w:r>
          </w:p>
        </w:tc>
        <w:tc>
          <w:tcPr>
            <w:tcW w:w="0" w:type="auto"/>
            <w:vAlign w:val="center"/>
            <w:hideMark/>
          </w:tcPr>
          <w:p w14:paraId="5331807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D1AE8AB" w14:textId="77777777" w:rsidR="00D306A0" w:rsidRPr="00D306A0" w:rsidRDefault="00D306A0" w:rsidP="00D306A0">
            <w:r w:rsidRPr="00D306A0">
              <w:t>Manufacturer + IPC</w:t>
            </w:r>
          </w:p>
        </w:tc>
      </w:tr>
      <w:tr w:rsidR="00D306A0" w:rsidRPr="00D306A0" w14:paraId="4B68F3B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5F2F" w14:textId="77777777" w:rsidR="00D306A0" w:rsidRPr="00D306A0" w:rsidRDefault="00D306A0" w:rsidP="00D306A0">
            <w:r w:rsidRPr="00D306A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9B03D5B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92E972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0102F65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2001" w14:textId="77777777" w:rsidR="00D306A0" w:rsidRPr="00D306A0" w:rsidRDefault="00D306A0" w:rsidP="00D306A0">
            <w:r w:rsidRPr="00D306A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08A712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A238DC8" w14:textId="77777777" w:rsidR="00D306A0" w:rsidRPr="00D306A0" w:rsidRDefault="00D306A0" w:rsidP="00D306A0">
            <w:r w:rsidRPr="00D306A0">
              <w:t>SHTM 00</w:t>
            </w:r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Live Health &amp; Safety File</w:t>
      </w:r>
    </w:p>
    <w:p w14:paraId="07D45F5E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Project risk register (updated at each stage)</w:t>
      </w:r>
    </w:p>
    <w:p w14:paraId="795B589C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Change control log</w:t>
      </w:r>
    </w:p>
    <w:p w14:paraId="4063531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Strong clinical stakeholder engagement (Pathology, Pharmacy, Blood Bank, Theatres, Critical Care, IPC) at key gateways</w:t>
      </w:r>
    </w:p>
    <w:p w14:paraId="3D780528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Maintenance of continuous pneumatic tube service (or robust temporary alternative) to critical departments throughout the works</w:t>
      </w:r>
    </w:p>
    <w:p w14:paraId="406A9AE9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compliance with manufacturer requirements, clinical risk assessments and infection control standards</w:t>
      </w:r>
    </w:p>
    <w:p w14:paraId="54C5AC24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Full system configuration backups and documentation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