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98.png" ContentType="image/png"/>
  <Override PartName="/word/media/rId104.png" ContentType="image/png"/>
  <Override PartName="/word/media/rId82.png" ContentType="image/png"/>
  <Override PartName="/word/media/rId94.png" ContentType="image/png"/>
  <Override PartName="/word/media/rId54.png" ContentType="image/png"/>
  <Override PartName="/word/media/rId46.png" ContentType="image/png"/>
  <Override PartName="/word/media/rId90.png" ContentType="image/png"/>
  <Override PartName="/word/media/rId86.png" ContentType="image/png"/>
  <Override PartName="/word/media/rId71.svg" ContentType="image/svg+xml"/>
  <Override PartName="/word/media/rId26.png" ContentType="image/png"/>
  <Override PartName="/word/media/rId31.png" ContentType="image/png"/>
  <Override PartName="/word/media/rId43.png" ContentType="image/png"/>
  <Override PartName="/word/media/rId74.png" ContentType="image/png"/>
  <Override PartName="/word/media/rId4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metacognitive performance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5"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4">
        <w:r>
          <w:rPr>
            <w:rStyle w:val="Hyperlink"/>
          </w:rPr>
          <w:t xml:space="preserve">kevin.o’neill@ucl.ac.uk</w:t>
        </w:r>
      </w:hyperlink>
    </w:p>
    <w:p>
      <w:r>
        <w:br w:type="page"/>
      </w:r>
    </w:p>
    <w:bookmarkEnd w:id="35"/>
    <w:bookmarkStart w:id="36" w:name="abstract"/>
    <w:p>
      <w:pPr>
        <w:pStyle w:val="Heading1"/>
      </w:pPr>
      <w:r>
        <w:t xml:space="preserve">Abstract</w:t>
      </w:r>
    </w:p>
    <w:p>
      <w:pPr>
        <w:pStyle w:val="AbstractFirstParagraph"/>
      </w:pPr>
      <w:r>
        <w:t xml:space="preserve">A longstanding goal in metacognition research is the quantification of confidence-related performance independently from task-related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in the framework of Signal Detection Theory. However, as research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easily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focused on a range of posterior estimates.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metacognitive performance.</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11440</w:t>
      </w:r>
    </w:p>
    <w:p>
      <w:r>
        <w:br w:type="page"/>
      </w:r>
    </w:p>
    <w:bookmarkEnd w:id="36"/>
    <w:bookmarkStart w:id="37" w:name="firstheader"/>
    <w:p>
      <w:pPr>
        <w:pStyle w:val="Heading1"/>
      </w:pPr>
      <w:r>
        <w:t xml:space="preserve">Quantifying metacognitive performance with the</w:t>
      </w:r>
      <w:r>
        <w:t xml:space="preserve"> </w:t>
      </w:r>
      <w:r>
        <w:rPr>
          <w:rStyle w:val="VerbatimChar"/>
        </w:rPr>
        <w:t xml:space="preserve">hmetad</w:t>
      </w:r>
      <w:r>
        <w:t xml:space="preserve"> </w:t>
      </w:r>
      <w:r>
        <w:t xml:space="preserve">package in R</w:t>
      </w:r>
    </w:p>
    <w:p>
      <w:pPr>
        <w:pStyle w:val="FirstParagraph"/>
      </w:pPr>
      <w:r>
        <w:t xml:space="preserve">Understanding metacognition—the capacity to monitor and control one’s cognitive processes—is increasingly being recognized as essential to the explanation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But progress is strongly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researchers studying metacognition have developed a wealth of models and measures that explicity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the participants’ sensitivity to the stimulus when making a response to the task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Then, comparing the two sensitivities results in a measure of metacognitive efficiency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in thanks due to the implementation of hierarchical Bayesian estimation routines that provide stronger statistical power and less estimation bias than single-participant estimation</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But there remain significant barriers to modeling metacognition. Recent evidence indicates that the separation of metacognitive factors made by the</w:t>
      </w:r>
      <w:r>
        <w:t xml:space="preserve"> </w:t>
      </w:r>
      <m:oMath>
        <m:r>
          <m:rPr>
            <m:nor/>
            <m:sty m:val="p"/>
          </m:rPr>
          <m:t>meta-</m:t>
        </m:r>
        <m:sSup>
          <m:e>
            <m:r>
              <m:t>d</m:t>
            </m:r>
          </m:e>
          <m:sup>
            <m:r>
              <m:rPr>
                <m:sty m:val="p"/>
              </m:rPr>
              <m:t>′</m:t>
            </m:r>
          </m:sup>
        </m:sSup>
      </m:oMath>
      <w:r>
        <w:t xml:space="preserve"> </w:t>
      </w:r>
      <w:r>
        <w:t xml:space="preserve">model is not guaranteed, but rather subject to assumptions that often go untested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 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7"/>
    <w:bookmarkStart w:id="62"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5"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38"/>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39"/>
      </w:r>
      <w:r>
        <w:t xml:space="preserve"> </w:t>
      </w:r>
      <w:r>
        <w:t xml:space="preserve">This design is often preferable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w:p>
    <w:bookmarkStart w:id="44"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1" name="Picture"/>
            <a:graphic>
              <a:graphicData uri="http://schemas.openxmlformats.org/drawingml/2006/picture">
                <pic:pic>
                  <pic:nvPicPr>
                    <pic:cNvPr descr="tikz.95dcc288.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4"/>
    <w:bookmarkEnd w:id="45"/>
    <w:bookmarkStart w:id="53"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49"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7" name="Picture"/>
            <a:graphic>
              <a:graphicData uri="http://schemas.openxmlformats.org/drawingml/2006/picture">
                <pic:pic>
                  <pic:nvPicPr>
                    <pic:cNvPr descr="index_files/figure-docx/fig-metad-model-1.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bookmarkEnd w:id="49"/>
    <w:bookmarkStart w:id="50"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r>
        <w:t xml:space="preserve"> </w:t>
      </w:r>
      <w:r>
        <w:t xml:space="preserve"> </w:t>
      </w: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to a criterion</w:t>
      </w:r>
      <w:r>
        <w:t xml:space="preserve"> </w:t>
      </w:r>
      <m:oMath>
        <m:r>
          <m:t>c</m:t>
        </m:r>
      </m:oMath>
      <w:r>
        <w:t xml:space="preserve">:</w:t>
      </w:r>
      <w:r>
        <w:t xml:space="preserve"> </w:t>
      </w:r>
      <w:r>
        <w:t xml:space="preserve"> </w:t>
      </w: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r>
        <w:t xml:space="preserve"> </w:t>
      </w:r>
      <w:r>
        <w:t xml:space="preserve"> </w:t>
      </w: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0"/>
    <w:bookmarkStart w:id="51"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r>
        <w:t xml:space="preserve"> </w:t>
      </w:r>
      <w:r>
        <w:t xml:space="preserve"> </w:t>
      </w: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t xml:space="preserve"> </w:t>
      </w: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r>
        <w:t xml:space="preserve"> </w:t>
      </w:r>
      <w:r>
        <w:t xml:space="preserve"> </w:t>
      </w: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1"/>
    <w:bookmarkStart w:id="52"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r>
        <w:t xml:space="preserve"> </w:t>
      </w:r>
      <w:r>
        <w:t xml:space="preserve"> </w:t>
      </w: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r>
        <w:t xml:space="preserve"> </w:t>
      </w:r>
      <w:r>
        <w:t xml:space="preserve"> </w:t>
      </w: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r>
        <w:t xml:space="preserve"> </w:t>
      </w:r>
      <w:r>
        <w:t xml:space="preserve"> </w:t>
      </w: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2"/>
    <w:bookmarkEnd w:id="53"/>
    <w:bookmarkStart w:id="58"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the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This is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7"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5" name="Picture"/>
            <a:graphic>
              <a:graphicData uri="http://schemas.openxmlformats.org/drawingml/2006/picture">
                <pic:pic>
                  <pic:nvPicPr>
                    <pic:cNvPr descr="index_files/figure-docx/fig-metac-1.png" id="56" name="Picture"/>
                    <pic:cNvPicPr>
                      <a:picLocks noChangeArrowheads="1" noChangeAspect="1"/>
                    </pic:cNvPicPr>
                  </pic:nvPicPr>
                  <pic:blipFill>
                    <a:blip r:embed="rId54"/>
                    <a:stretch>
                      <a:fillRect/>
                    </a:stretch>
                  </pic:blipFill>
                  <pic:spPr bwMode="auto">
                    <a:xfrm>
                      <a:off x="0" y="0"/>
                      <a:ext cx="5943600" cy="2971800"/>
                    </a:xfrm>
                    <a:prstGeom prst="rect">
                      <a:avLst/>
                    </a:prstGeom>
                    <a:noFill/>
                    <a:ln w="9525">
                      <a:noFill/>
                      <a:headEnd/>
                      <a:tailEnd/>
                    </a:ln>
                  </pic:spPr>
                </pic:pic>
              </a:graphicData>
            </a:graphic>
          </wp:inline>
        </w:drawing>
      </w:r>
    </w:p>
    <w:bookmarkEnd w:id="57"/>
    <w:bookmarkEnd w:id="58"/>
    <w:bookmarkStart w:id="61"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59"/>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r>
        <w:t xml:space="preserve"> </w:t>
      </w:r>
      <w:r>
        <w:t xml:space="preserve"> </w:t>
      </w:r>
      <w:r>
        <w:t xml:space="preserve">Under this parameterization, the actual Type II criteria are computed using the inverse transform:</w:t>
      </w:r>
      <w:r>
        <w:t xml:space="preserve"> </w:t>
      </w:r>
      <w:r>
        <w:t xml:space="preserve"> </w:t>
      </w: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0"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r>
        <w:t xml:space="preserve"> </w:t>
      </w:r>
      <w:r>
        <w:t xml:space="preserve"> </w:t>
      </w: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r>
        <w:t xml:space="preserve"> </w:t>
      </w:r>
      <w:r>
        <w:t xml:space="preserve"> </w:t>
      </w: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0"/>
    <w:bookmarkEnd w:id="61"/>
    <w:bookmarkEnd w:id="62"/>
    <w:bookmarkStart w:id="109"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difference in the number of dots between the two boxes. Finally, particpants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anxious depression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This approach has two main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and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singmann2019">
        <w:r>
          <w:rPr>
            <w:rStyle w:val="Hyperlink"/>
          </w:rPr>
          <w:t xml:space="preserve">Singmann &amp; Kellen, 2019</w:t>
        </w:r>
      </w:hyperlink>
      <w:r>
        <w:t xml:space="preserve">)</w:t>
      </w:r>
      <w:r>
        <w:t xml:space="preserve">. Here, we overcome these limitations by directly modeling the association of anxious depression on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7" w:name="setup"/>
    <w:p>
      <w:pPr>
        <w:pStyle w:val="Heading2"/>
      </w:pPr>
      <w:r>
        <w:t xml:space="preserve">Setup</w:t>
      </w:r>
    </w:p>
    <w:bookmarkStart w:id="65"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requires a working C++ compiler specific to your computer’s operating system. In particular, Windows users must install RTools (</w:t>
      </w:r>
      <w:hyperlink r:id="rId63">
        <w:r>
          <w:rPr>
            <w:rStyle w:val="Hyperlink"/>
          </w:rPr>
          <w:t xml:space="preserve">https://cran.r-project.org/bin/windows/Rtools/</w:t>
        </w:r>
      </w:hyperlink>
      <w:r>
        <w:t xml:space="preserve">). For detailed information on installation, please see</w:t>
      </w:r>
      <w:r>
        <w:t xml:space="preserve"> </w:t>
      </w:r>
      <w:hyperlink r:id="rId64">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5"/>
    <w:bookmarkStart w:id="66"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 the</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 the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 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6"/>
    <w:bookmarkEnd w:id="67"/>
    <w:bookmarkStart w:id="70"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however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 depression as a between-participant predictor. To account for this structure, we will want a model that hierarchically estimates separate parameters for each participant with population-level effects of anxious 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68"/>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69"/>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then, we can specify formulas for multiple model parameters at the same time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0"/>
    <w:bookmarkStart w:id="76"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Because prior specification is a somewhat subjective process, we recommend the use of prior predictive checks 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"normal(-1.33,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 hence that</w:t>
      </w:r>
      <w:r>
        <w:t xml:space="preserve"> </w:t>
      </w:r>
      <m:oMath>
        <m:sSup>
          <m:e>
            <m:r>
              <m:t>d</m:t>
            </m:r>
          </m:e>
          <m:sup>
            <m:r>
              <m:rPr>
                <m:sty m:val="p"/>
              </m:rPr>
              <m:t>′</m:t>
            </m:r>
          </m:sup>
        </m:sSup>
        <m:r>
          <m:rPr>
            <m:sty m:val="p"/>
          </m:rPr>
          <m:t>≈</m:t>
        </m:r>
        <m:r>
          <m:rPr>
            <m:sty m:val="p"/>
          </m:rPr>
          <m:t>−</m:t>
        </m:r>
        <m:r>
          <m:t>2</m:t>
        </m:r>
        <m:sSup>
          <m:e>
            <m:r>
              <m:rPr>
                <m:sty m:val="p"/>
              </m:rPr>
              <m:t>Φ</m:t>
            </m:r>
          </m:e>
          <m:sup>
            <m:r>
              <m:rPr>
                <m:sty m:val="p"/>
              </m:rPr>
              <m:t>−</m:t>
            </m:r>
            <m:r>
              <m:t>1</m:t>
            </m:r>
          </m:sup>
        </m:sSup>
        <m:r>
          <m:rPr>
            <m:sty m:val="p"/>
          </m:rPr>
          <m:t>(</m:t>
        </m:r>
        <m:r>
          <m:t>1</m:t>
        </m:r>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 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 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0.529   1.92     0.95 median</w:t>
      </w:r>
      <w:r>
        <w:br/>
      </w:r>
      <w:r>
        <w:rPr>
          <w:rStyle w:val="VerbatimChar"/>
        </w:rPr>
        <w:t xml:space="preserve"> 2                  0     1 dprime       1.11       0.904   1.31     0.95 median</w:t>
      </w:r>
      <w:r>
        <w:br/>
      </w:r>
      <w:r>
        <w:rPr>
          <w:rStyle w:val="VerbatimChar"/>
        </w:rPr>
        <w:t xml:space="preserve"> 3                  0     1 c            0.0000512 -0.195   0.200    0.95 median</w:t>
      </w:r>
      <w:r>
        <w:br/>
      </w:r>
      <w:r>
        <w:rPr>
          <w:rStyle w:val="VerbatimChar"/>
        </w:rPr>
        <w:t xml:space="preserve"> 4                  0     1 meta_dprime  1.11       0.568   2.19     0.95 median</w:t>
      </w:r>
      <w:r>
        <w:br/>
      </w:r>
      <w:r>
        <w:rPr>
          <w:rStyle w:val="VerbatimChar"/>
        </w:rPr>
        <w:t xml:space="preserve"> 5                  0     1 meta_c       0.0000512 -0.195   0.200    0.95 median</w:t>
      </w:r>
      <w:r>
        <w:br/>
      </w:r>
      <w:r>
        <w:rPr>
          <w:rStyle w:val="VerbatimChar"/>
        </w:rPr>
        <w:t xml:space="preserve"> 6                  0     1 meta_c2_0_1 -0.289     -2.03    0.0576   0.95 median</w:t>
      </w:r>
      <w:r>
        <w:br/>
      </w:r>
      <w:r>
        <w:rPr>
          <w:rStyle w:val="VerbatimChar"/>
        </w:rPr>
        <w:t xml:space="preserve"> 7                  0     1 meta_c2_0_2 -0.661     -3.11   -0.0864   0.95 median</w:t>
      </w:r>
      <w:r>
        <w:br/>
      </w:r>
      <w:r>
        <w:rPr>
          <w:rStyle w:val="VerbatimChar"/>
        </w:rPr>
        <w:t xml:space="preserve"> 8                  0     1 meta_c2_0_3 -1.08      -3.91   -0.267    0.95 median</w:t>
      </w:r>
      <w:r>
        <w:br/>
      </w:r>
      <w:r>
        <w:rPr>
          <w:rStyle w:val="VerbatimChar"/>
        </w:rPr>
        <w:t xml:space="preserve"> 9                  0     1 meta_c2_0_4 -1.48      -4.54   -0.448    0.95 median</w:t>
      </w:r>
      <w:r>
        <w:br/>
      </w:r>
      <w:r>
        <w:rPr>
          <w:rStyle w:val="VerbatimChar"/>
        </w:rPr>
        <w:t xml:space="preserve">10                  0     1 meta_c2_0_5 -1.92      -5.33   -0.668    0.95 median</w:t>
      </w:r>
      <w:r>
        <w:br/>
      </w:r>
      <w:r>
        <w:rPr>
          <w:rStyle w:val="VerbatimChar"/>
        </w:rPr>
        <w:t xml:space="preserve">11                  0     1 meta_c2_1_1  0.285     -0.0540  1.89     0.95 median</w:t>
      </w:r>
      <w:r>
        <w:br/>
      </w:r>
      <w:r>
        <w:rPr>
          <w:rStyle w:val="VerbatimChar"/>
        </w:rPr>
        <w:t xml:space="preserve">12                  0     1 meta_c2_1_2  0.642      0.103   2.78     0.95 median</w:t>
      </w:r>
      <w:r>
        <w:br/>
      </w:r>
      <w:r>
        <w:rPr>
          <w:rStyle w:val="VerbatimChar"/>
        </w:rPr>
        <w:t xml:space="preserve">13                  0     1 meta_c2_1_3  1.06       0.275   3.61     0.95 median</w:t>
      </w:r>
      <w:r>
        <w:br/>
      </w:r>
      <w:r>
        <w:rPr>
          <w:rStyle w:val="VerbatimChar"/>
        </w:rPr>
        <w:t xml:space="preserve">14                  0     1 meta_c2_1_4  1.46       0.472   4.26     0.95 median</w:t>
      </w:r>
      <w:r>
        <w:br/>
      </w:r>
      <w:r>
        <w:rPr>
          <w:rStyle w:val="VerbatimChar"/>
        </w:rPr>
        <w:t xml:space="preserve">15                  0     1 meta_c2_1_5  1.88       0.683   5.23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moderate degree of uncertainty.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our priors put roughly equal probability on each response for each possible stimulus with a slight preference for accurate but low confidence responses, which is a reasonable start. 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B). In this scenario, it would be sensible to increase the prior mean of the confidence criteria until the prior predictions more closely resembled our expectations.</w:t>
      </w:r>
    </w:p>
    <w:bookmarkStart w:id="75"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 depression at the mean. Prior predictions are mostly uniform, with a slight preference for low-confidence incorrect responses and high-confidence correct responses.</w:t>
      </w:r>
      <w:r>
        <w:t xml:space="preserve"> </w:t>
      </w:r>
      <w:r>
        <w:rPr>
          <w:i/>
          <w:iCs/>
        </w:rPr>
        <w:t xml:space="preserve">(B)</w:t>
      </w:r>
      <w:r>
        <w:t xml:space="preserve"> </w:t>
      </w:r>
      <w:r>
        <w:t xml:space="preserve">Participant-level prior predictions for an example participant.</w:t>
      </w:r>
      <w:r>
        <w:t xml:space="preserve"> </w:t>
      </w:r>
      <w:r>
        <w:rPr>
          <w:i/>
          <w:iCs/>
        </w:rPr>
        <w:t xml:space="preserve">(C)</w:t>
      </w:r>
      <w:r>
        <w:t xml:space="preserve"> </w:t>
      </w:r>
      <w:r>
        <w:t xml:space="preserve">Group-level prior predictions using the same prior as in</w:t>
      </w:r>
      <w:r>
        <w:t xml:space="preserve"> </w:t>
      </w:r>
      <w:r>
        <w:rPr>
          <w:i/>
          <w:iCs/>
        </w:rPr>
        <w:t xml:space="preserve">(A)</w:t>
      </w:r>
      <w:r>
        <w:t xml:space="preserve">, only for a dataset with two confidence levels. Unlike in</w:t>
      </w:r>
      <w:r>
        <w:t xml:space="preserve"> </w:t>
      </w:r>
      <w:r>
        <w:rPr>
          <w:i/>
          <w:iCs/>
        </w:rPr>
        <w:t xml:space="preserve">(A)</w:t>
      </w:r>
      <w:r>
        <w:t xml:space="preserve">, this prior favors high confidence ratings and should likely be adjusted before use.</w:t>
      </w:r>
    </w:p>
    <w:p>
      <w:pPr>
        <w:pStyle w:val="FigureWithNote"/>
      </w:pPr>
      <w:r>
        <w:drawing>
          <wp:inline>
            <wp:extent cx="5943600" cy="2971800"/>
            <wp:effectExtent b="0" l="0" r="0" t="0"/>
            <wp:docPr descr="" title="" id="72" name="Picture"/>
            <a:graphic>
              <a:graphicData uri="http://schemas.openxmlformats.org/drawingml/2006/picture">
                <pic:pic>
                  <pic:nvPicPr>
                    <pic:cNvPr descr="index_files/figure-docx/fig-type2-prior-1.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Next, to visualize priors for participant-level standard deviations, it suffices to simulate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C.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increasing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 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6"/>
    <w:bookmarkStart w:id="81"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be able to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0" w:name="model-convergence"/>
    <w:p>
      <w:pPr>
        <w:pStyle w:val="Heading3"/>
      </w:pPr>
      <w:r>
        <w:t xml:space="preserve">Model convergence</w:t>
      </w:r>
    </w:p>
    <w:p>
      <w:pPr>
        <w:pStyle w:val="FirstParagraph"/>
      </w:pPr>
      <w:r>
        <w:t xml:space="preserve">There are a number of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w:t>
      </w:r>
      <w:r>
        <w:t xml:space="preserve"> </w:t>
      </w:r>
      <w:hyperlink r:id="rId77">
        <w:r>
          <w:rPr>
            <w:rStyle w:val="Hyperlink"/>
          </w:rPr>
          <w:t xml:space="preserve">Stan guide on convergence warnings</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78"/>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However, above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that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unadviasable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79"/>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0"/>
    <w:bookmarkEnd w:id="81"/>
    <w:bookmarkStart w:id="102"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Before we can interpret the parameters of our model, we first need to verify that it is empirically adequate using a posterior retrodictive check.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5"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3" name="Picture"/>
            <a:graphic>
              <a:graphicData uri="http://schemas.openxmlformats.org/drawingml/2006/picture">
                <pic:pic>
                  <pic:nvPicPr>
                    <pic:cNvPr descr="index_files/figure-docx/fig-epred-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aggregating over participants (</w:t>
      </w:r>
      <w:hyperlink w:anchor="fig-epred">
        <w:r>
          <w:rPr>
            <w:rStyle w:val="Hyperlink"/>
          </w:rPr>
          <w:t xml:space="preserve">Figure 5</w:t>
        </w:r>
      </w:hyperlink>
      <w:r>
        <w:t xml:space="preserve">A),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these other quantities is similar.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89"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7" name="Picture"/>
            <a:graphic>
              <a:graphicData uri="http://schemas.openxmlformats.org/drawingml/2006/picture">
                <pic:pic>
                  <pic:nvPicPr>
                    <pic:cNvPr descr="index_files/figure-docx/fig-roc2-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bookmarkEnd w:id="89"/>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all of these additional quanitities are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 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FunctionTok"/>
        </w:rPr>
        <w:t xml:space="preserve">capture.output</w:t>
      </w:r>
      <w:r>
        <w:rPr>
          <w:rStyle w:val="NormalTok"/>
        </w:rPr>
        <w:t xml:space="preserve">(</w:t>
      </w:r>
      <w:r>
        <w:rPr>
          <w:rStyle w:val="FunctionTok"/>
        </w:rPr>
        <w:t xml:space="preserve">print</w:t>
      </w:r>
      <w:r>
        <w:rPr>
          <w:rStyle w:val="NormalTok"/>
        </w:rPr>
        <w:t xml:space="preserve">(m))[</w:t>
      </w:r>
      <w:r>
        <w:rPr>
          <w:rStyle w:val="DecValTok"/>
        </w:rPr>
        <w:t xml:space="preserve">14</w:t>
      </w:r>
      <w:r>
        <w:rPr>
          <w:rStyle w:val="SpecialCharTok"/>
        </w:rPr>
        <w:t xml:space="preserve">:</w:t>
      </w:r>
      <w:r>
        <w:rPr>
          <w:rStyle w:val="DecValTok"/>
        </w:rPr>
        <w:t xml:space="preserve">60</w:t>
      </w:r>
      <w:r>
        <w:rPr>
          <w:rStyle w:val="NormalTok"/>
        </w:rPr>
        <w:t xml:space="preserve">] </w:t>
      </w:r>
      <w:r>
        <w:rPr>
          <w:rStyle w:val="SpecialCharTok"/>
        </w:rPr>
        <w:t xml:space="preserve">|&gt;</w:t>
      </w:r>
      <w:r>
        <w:br/>
      </w:r>
      <w:r>
        <w:rPr>
          <w:rStyle w:val="NormalTok"/>
        </w:rPr>
        <w:t xml:space="preserve">  </w:t>
      </w:r>
      <w:r>
        <w:rPr>
          <w:rStyle w:val="FunctionTok"/>
        </w:rPr>
        <w:t xml:space="preserve">writeLines</w:t>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 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 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3"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 depression is at its mean.</w:t>
      </w:r>
    </w:p>
    <w:p>
      <w:pPr>
        <w:pStyle w:val="FigureWithoutNote"/>
      </w:pPr>
      <w:r>
        <w:drawing>
          <wp:inline>
            <wp:extent cx="5544151" cy="2772075"/>
            <wp:effectExtent b="0" l="0" r="0" t="0"/>
            <wp:docPr descr="" title="" id="91" name="Picture"/>
            <a:graphic>
              <a:graphicData uri="http://schemas.openxmlformats.org/drawingml/2006/picture">
                <pic:pic>
                  <pic:nvPicPr>
                    <pic:cNvPr descr="index_files/figure-docx/fig-mratio-1.png" id="92" name="Picture"/>
                    <pic:cNvPicPr>
                      <a:picLocks noChangeArrowheads="1" noChangeAspect="1"/>
                    </pic:cNvPicPr>
                  </pic:nvPicPr>
                  <pic:blipFill>
                    <a:blip r:embed="rId90"/>
                    <a:stretch>
                      <a:fillRect/>
                    </a:stretch>
                  </pic:blipFill>
                  <pic:spPr bwMode="auto">
                    <a:xfrm>
                      <a:off x="0" y="0"/>
                      <a:ext cx="5544151" cy="2772075"/>
                    </a:xfrm>
                    <a:prstGeom prst="rect">
                      <a:avLst/>
                    </a:prstGeom>
                    <a:noFill/>
                    <a:ln w="9525">
                      <a:noFill/>
                      <a:headEnd/>
                      <a:tailEnd/>
                    </a:ln>
                  </pic:spPr>
                </pic:pic>
              </a:graphicData>
            </a:graphic>
          </wp:inline>
        </w:drawing>
      </w:r>
    </w:p>
    <w:bookmarkEnd w:id="93"/>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 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7" w:name="fig-linpred-mh"/>
    <w:p>
      <w:pPr>
        <w:pStyle w:val="FigureTitle"/>
      </w:pPr>
      <w:r>
        <w:t xml:space="preserve">Figure 8</w:t>
      </w:r>
    </w:p>
    <w:p>
      <w:pPr>
        <w:pStyle w:val="Caption"/>
      </w:pPr>
      <w:r>
        <w:t xml:space="preserve">Model estimates of Type I and Type II parameters as a function of anxious depression.</w:t>
      </w:r>
    </w:p>
    <w:p>
      <w:pPr>
        <w:pStyle w:val="FigureWithNote"/>
      </w:pPr>
      <w:r>
        <w:drawing>
          <wp:inline>
            <wp:extent cx="5943600" cy="2971800"/>
            <wp:effectExtent b="0" l="0" r="0" t="0"/>
            <wp:docPr descr="" title="" id="95" name="Picture"/>
            <a:graphic>
              <a:graphicData uri="http://schemas.openxmlformats.org/drawingml/2006/picture">
                <pic:pic>
                  <pic:nvPicPr>
                    <pic:cNvPr descr="index_files/figure-docx/fig-linpred-mh-1.png" id="96" name="Picture"/>
                    <pic:cNvPicPr>
                      <a:picLocks noChangeArrowheads="1" noChangeAspect="1"/>
                    </pic:cNvPicPr>
                  </pic:nvPicPr>
                  <pic:blipFill>
                    <a:blip r:embed="rId94"/>
                    <a:stretch>
                      <a:fillRect/>
                    </a:stretch>
                  </pic:blipFill>
                  <pic:spPr bwMode="auto">
                    <a:xfrm>
                      <a:off x="0" y="0"/>
                      <a:ext cx="5943600" cy="2971800"/>
                    </a:xfrm>
                    <a:prstGeom prst="rect">
                      <a:avLst/>
                    </a:prstGeom>
                    <a:noFill/>
                    <a:ln w="9525">
                      <a:noFill/>
                      <a:headEnd/>
                      <a:tailEnd/>
                    </a:ln>
                  </pic:spPr>
                </pic:pic>
              </a:graphicData>
            </a:graphic>
          </wp:inline>
        </w:drawing>
      </w:r>
    </w:p>
    <w:bookmarkEnd w:id="9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measure of metacognitive bias derived from the confidence criteria known as meta-</w:t>
      </w:r>
      <m:oMath>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1"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 depression.</w:t>
      </w:r>
      <w:r>
        <w:t xml:space="preserve"> </w:t>
      </w:r>
      <w:r>
        <w:rPr>
          <w:i/>
          <w:iCs/>
        </w:rPr>
        <w:t xml:space="preserve">(A)</w:t>
      </w:r>
      <w:r>
        <w:t xml:space="preserve"> </w:t>
      </w:r>
      <w:r>
        <w:t xml:space="preserve">Posterior estimates of metacognitive bias at varying levels of anxious depression.</w:t>
      </w:r>
      <w:r>
        <w:t xml:space="preserve"> </w:t>
      </w:r>
      <w:r>
        <w:rPr>
          <w:i/>
          <w:iCs/>
        </w:rPr>
        <w:t xml:space="preserve">(B)</w:t>
      </w:r>
      <w:r>
        <w:t xml:space="preserve"> </w:t>
      </w:r>
      <w:r>
        <w:t xml:space="preserve">Group-level prior (gray) and posterior (orange) distributions of the association between anxious depression and metacognitive bias.</w:t>
      </w:r>
    </w:p>
    <w:p>
      <w:pPr>
        <w:pStyle w:val="FigureWithNote"/>
      </w:pPr>
      <w:r>
        <w:drawing>
          <wp:inline>
            <wp:extent cx="5943600" cy="5943600"/>
            <wp:effectExtent b="0" l="0" r="0" t="0"/>
            <wp:docPr descr="" title="" id="99" name="Picture"/>
            <a:graphic>
              <a:graphicData uri="http://schemas.openxmlformats.org/drawingml/2006/picture">
                <pic:pic>
                  <pic:nvPicPr>
                    <pic:cNvPr descr="index_files/figure-docx/fig-bias-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 depression are associated with small increases in metacognitive bias (i.e., the amount of evidence required to make a response with confidence at the mid-point).</w:t>
      </w:r>
    </w:p>
    <w:bookmarkEnd w:id="102"/>
    <w:bookmarkStart w:id="103"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 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against effects of anxious 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 depression, we see moderate evidence against effects on the highest confidence level. Again, to get a clearer picture, we can analyze meta-</w:t>
      </w:r>
      <m:oMath>
        <m:r>
          <m:rPr>
            <m:sty m:val="p"/>
          </m:rPr>
          <m:t>Δ</m:t>
        </m:r>
      </m:oMath>
      <w:r>
        <w:t xml:space="preserve"> </w:t>
      </w:r>
      <w:r>
        <w:t xml:space="preserve">instead of the individual confidence criteria. But since meta-</w:t>
      </w:r>
      <m:oMath>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is decreased with anxious depression.</w:t>
      </w:r>
    </w:p>
    <w:bookmarkEnd w:id="103"/>
    <w:bookmarkStart w:id="108" w:name="adding-complexity"/>
    <w:p>
      <w:pPr>
        <w:pStyle w:val="Heading2"/>
      </w:pPr>
      <w:r>
        <w:t xml:space="preserve">Adding complexity</w:t>
      </w:r>
    </w:p>
    <w:p>
      <w:pPr>
        <w:pStyle w:val="FirstParagraph"/>
      </w:pPr>
      <w:r>
        <w:t xml:space="preserve">Above, we have somewhat simplified our analysis by looking only at associations with anxious 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affect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7"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 depression, compulsivity, and social withdrawal.</w:t>
      </w:r>
      <w:r>
        <w:t xml:space="preserve"> </w:t>
      </w:r>
      <w:r>
        <w:rPr>
          <w:i/>
          <w:iCs/>
        </w:rPr>
        <w:t xml:space="preserve">(A)</w:t>
      </w:r>
      <w:r>
        <w:t xml:space="preserve"> </w:t>
      </w:r>
      <w:r>
        <w:t xml:space="preserve">Posterior estimates of metacognitive bias at varying levels of anxious depression.</w:t>
      </w:r>
      <w:r>
        <w:t xml:space="preserve"> </w:t>
      </w:r>
      <w:r>
        <w:rPr>
          <w:i/>
          <w:iCs/>
        </w:rPr>
        <w:t xml:space="preserve">(B)</w:t>
      </w:r>
      <w:r>
        <w:t xml:space="preserve"> </w:t>
      </w:r>
      <w:r>
        <w:t xml:space="preserve">Group-level prior (gray) and posterior (orange) distributions of the association between anxious depression and metacognitive bias.</w:t>
      </w:r>
    </w:p>
    <w:p>
      <w:pPr>
        <w:pStyle w:val="FigureWithNote"/>
      </w:pPr>
      <w:r>
        <w:drawing>
          <wp:inline>
            <wp:extent cx="5943600" cy="5943600"/>
            <wp:effectExtent b="0" l="0" r="0" t="0"/>
            <wp:docPr descr="" title="" id="105" name="Picture"/>
            <a:graphic>
              <a:graphicData uri="http://schemas.openxmlformats.org/drawingml/2006/picture">
                <pic:pic>
                  <pic:nvPicPr>
                    <pic:cNvPr descr="index_files/figure-docx/fig-bias-mh-1.png" id="106" name="Picture"/>
                    <pic:cNvPicPr>
                      <a:picLocks noChangeArrowheads="1" noChangeAspect="1"/>
                    </pic:cNvPicPr>
                  </pic:nvPicPr>
                  <pic:blipFill>
                    <a:blip r:embed="rId104"/>
                    <a:stretch>
                      <a:fillRect/>
                    </a:stretch>
                  </pic:blipFill>
                  <pic:spPr bwMode="auto">
                    <a:xfrm>
                      <a:off x="0" y="0"/>
                      <a:ext cx="5943600" cy="594360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 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that confidence levels are decreased with anxious depression and increased with compulsivity.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may prefer to perform a completely different set of statistical analyses on the fitted model.</w:t>
      </w:r>
    </w:p>
    <w:bookmarkEnd w:id="108"/>
    <w:bookmarkEnd w:id="109"/>
    <w:bookmarkStart w:id="110"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have shown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0"/>
    <w:bookmarkStart w:id="181" w:name="references"/>
    <w:p>
      <w:pPr>
        <w:pStyle w:val="Heading1"/>
      </w:pPr>
      <w:r>
        <w:t xml:space="preserve">References</w:t>
      </w:r>
    </w:p>
    <w:bookmarkStart w:id="180" w:name="refs"/>
    <w:bookmarkStart w:id="112"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11">
        <w:r>
          <w:rPr>
            <w:rStyle w:val="Hyperlink"/>
          </w:rPr>
          <w:t xml:space="preserve">https://doi.org/10.3389/fpsyg.2013.00328</w:t>
        </w:r>
      </w:hyperlink>
    </w:p>
    <w:bookmarkEnd w:id="112"/>
    <w:bookmarkStart w:id="114"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13">
        <w:r>
          <w:rPr>
            <w:rStyle w:val="Hyperlink"/>
          </w:rPr>
          <w:t xml:space="preserve">https://doi.org/10.48550/ARXIV.1701.02434</w:t>
        </w:r>
      </w:hyperlink>
    </w:p>
    <w:bookmarkEnd w:id="114"/>
    <w:bookmarkStart w:id="116"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15">
        <w:r>
          <w:rPr>
            <w:rStyle w:val="Hyperlink"/>
          </w:rPr>
          <w:t xml:space="preserve">https://doi.org/10.18637/jss.v080.i01</w:t>
        </w:r>
      </w:hyperlink>
    </w:p>
    <w:bookmarkEnd w:id="116"/>
    <w:bookmarkStart w:id="118"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17">
        <w:r>
          <w:rPr>
            <w:rStyle w:val="Hyperlink"/>
          </w:rPr>
          <w:t xml:space="preserve">https://doi.org/10.32614/rj-2018-017</w:t>
        </w:r>
      </w:hyperlink>
    </w:p>
    <w:bookmarkEnd w:id="118"/>
    <w:bookmarkStart w:id="120"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19">
        <w:r>
          <w:rPr>
            <w:rStyle w:val="Hyperlink"/>
          </w:rPr>
          <w:t xml:space="preserve">https://doi.org/10.1111/bmsp.12195</w:t>
        </w:r>
      </w:hyperlink>
    </w:p>
    <w:bookmarkEnd w:id="120"/>
    <w:bookmarkStart w:id="122"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21">
        <w:r>
          <w:rPr>
            <w:rStyle w:val="Hyperlink"/>
          </w:rPr>
          <w:t xml:space="preserve">https://doi.org/10.1121/1.1907764</w:t>
        </w:r>
      </w:hyperlink>
    </w:p>
    <w:bookmarkEnd w:id="122"/>
    <w:bookmarkStart w:id="124"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23">
        <w:r>
          <w:rPr>
            <w:rStyle w:val="Hyperlink"/>
          </w:rPr>
          <w:t xml:space="preserve">https://doi.org/10.1093/nc/nix007</w:t>
        </w:r>
      </w:hyperlink>
    </w:p>
    <w:bookmarkEnd w:id="124"/>
    <w:bookmarkStart w:id="126"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25">
        <w:r>
          <w:rPr>
            <w:rStyle w:val="Hyperlink"/>
          </w:rPr>
          <w:t xml:space="preserve">https://doi.org/10.1146/annurev-psych-022423-032425</w:t>
        </w:r>
      </w:hyperlink>
    </w:p>
    <w:bookmarkEnd w:id="126"/>
    <w:bookmarkStart w:id="128"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27">
        <w:r>
          <w:rPr>
            <w:rStyle w:val="Hyperlink"/>
          </w:rPr>
          <w:t xml:space="preserve">https://doi.org/10.3389/fnhum.2014.00443</w:t>
        </w:r>
      </w:hyperlink>
    </w:p>
    <w:bookmarkEnd w:id="128"/>
    <w:bookmarkStart w:id="130"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29">
        <w:r>
          <w:rPr>
            <w:rStyle w:val="Hyperlink"/>
          </w:rPr>
          <w:t xml:space="preserve">https://doi.org/10.1111/rssa.12378</w:t>
        </w:r>
      </w:hyperlink>
    </w:p>
    <w:bookmarkEnd w:id="130"/>
    <w:bookmarkStart w:id="131"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31"/>
    <w:bookmarkStart w:id="132"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32"/>
    <w:bookmarkStart w:id="134"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33">
        <w:r>
          <w:rPr>
            <w:rStyle w:val="Hyperlink"/>
          </w:rPr>
          <w:t xml:space="preserve">https://doi.org/10.1093/nc/niab040</w:t>
        </w:r>
      </w:hyperlink>
    </w:p>
    <w:bookmarkEnd w:id="134"/>
    <w:bookmarkStart w:id="136"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35">
        <w:r>
          <w:rPr>
            <w:rStyle w:val="Hyperlink"/>
          </w:rPr>
          <w:t xml:space="preserve">https://doi.org/10.3758/bf03203619</w:t>
        </w:r>
      </w:hyperlink>
    </w:p>
    <w:bookmarkEnd w:id="136"/>
    <w:bookmarkStart w:id="138"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37">
        <w:r>
          <w:rPr>
            <w:rStyle w:val="Hyperlink"/>
          </w:rPr>
          <w:t xml:space="preserve">https://doi.org/10.1007/s11222-023-10366-5</w:t>
        </w:r>
      </w:hyperlink>
    </w:p>
    <w:bookmarkEnd w:id="138"/>
    <w:bookmarkStart w:id="140"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39">
        <w:r>
          <w:rPr>
            <w:rStyle w:val="Hyperlink"/>
          </w:rPr>
          <w:t xml:space="preserve">https://doi.org/10.21105/joss.11036</w:t>
        </w:r>
      </w:hyperlink>
    </w:p>
    <w:bookmarkEnd w:id="140"/>
    <w:bookmarkStart w:id="142"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41">
        <w:r>
          <w:rPr>
            <w:rStyle w:val="Hyperlink"/>
          </w:rPr>
          <w:t xml:space="preserve">https://doi.org/10.3758/s13423-017-1272-1</w:t>
        </w:r>
      </w:hyperlink>
    </w:p>
    <w:bookmarkEnd w:id="142"/>
    <w:bookmarkStart w:id="144"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43">
        <w:r>
          <w:rPr>
            <w:rStyle w:val="Hyperlink"/>
          </w:rPr>
          <w:t xml:space="preserve">https://doi.org/10.3389/fpsyg.2019.02767</w:t>
        </w:r>
      </w:hyperlink>
    </w:p>
    <w:bookmarkEnd w:id="144"/>
    <w:bookmarkStart w:id="146"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45">
        <w:r>
          <w:rPr>
            <w:rStyle w:val="Hyperlink"/>
          </w:rPr>
          <w:t xml:space="preserve">https://doi.org/10.3758/s13423-024-02510-7</w:t>
        </w:r>
      </w:hyperlink>
    </w:p>
    <w:bookmarkEnd w:id="146"/>
    <w:bookmarkStart w:id="148"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47">
        <w:r>
          <w:rPr>
            <w:rStyle w:val="Hyperlink"/>
          </w:rPr>
          <w:t xml:space="preserve">https://doi.org/10.1016/j.concog.2011.09.021</w:t>
        </w:r>
      </w:hyperlink>
    </w:p>
    <w:bookmarkEnd w:id="148"/>
    <w:bookmarkStart w:id="150"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49">
        <w:r>
          <w:rPr>
            <w:rStyle w:val="Hyperlink"/>
          </w:rPr>
          <w:t xml:space="preserve">https://doi.org/10.1007/978-3-642-45190-4_3</w:t>
        </w:r>
      </w:hyperlink>
    </w:p>
    <w:bookmarkEnd w:id="150"/>
    <w:bookmarkStart w:id="151"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51"/>
    <w:bookmarkStart w:id="153"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52">
        <w:r>
          <w:rPr>
            <w:rStyle w:val="Hyperlink"/>
          </w:rPr>
          <w:t xml:space="preserve">https://doi.org/10.1214/23-ba1404</w:t>
        </w:r>
      </w:hyperlink>
    </w:p>
    <w:bookmarkEnd w:id="153"/>
    <w:bookmarkStart w:id="154"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54"/>
    <w:bookmarkStart w:id="156"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55">
        <w:r>
          <w:rPr>
            <w:rStyle w:val="Hyperlink"/>
          </w:rPr>
          <w:t xml:space="preserve">https://doi.org/10.1093/cercor/bhae455</w:t>
        </w:r>
      </w:hyperlink>
    </w:p>
    <w:bookmarkEnd w:id="156"/>
    <w:bookmarkStart w:id="158"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57">
        <w:r>
          <w:rPr>
            <w:rStyle w:val="Hyperlink"/>
          </w:rPr>
          <w:t xml:space="preserve">https://doi.org/10.1037/amp0000937</w:t>
        </w:r>
      </w:hyperlink>
    </w:p>
    <w:bookmarkEnd w:id="158"/>
    <w:bookmarkStart w:id="160"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59">
        <w:r>
          <w:rPr>
            <w:rStyle w:val="Hyperlink"/>
          </w:rPr>
          <w:t xml:space="preserve">https://doi.org/10.1038/s41467-025-56117-0</w:t>
        </w:r>
      </w:hyperlink>
    </w:p>
    <w:bookmarkEnd w:id="160"/>
    <w:bookmarkStart w:id="162"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61">
        <w:r>
          <w:rPr>
            <w:rStyle w:val="Hyperlink"/>
          </w:rPr>
          <w:t xml:space="preserve">https://doi.org/10.1037/met0000634</w:t>
        </w:r>
      </w:hyperlink>
    </w:p>
    <w:bookmarkEnd w:id="162"/>
    <w:bookmarkStart w:id="164"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63">
        <w:r>
          <w:rPr>
            <w:rStyle w:val="Hyperlink"/>
          </w:rPr>
          <w:t xml:space="preserve">https://doi.org/10.1111/spc3.12948</w:t>
        </w:r>
      </w:hyperlink>
    </w:p>
    <w:bookmarkEnd w:id="164"/>
    <w:bookmarkStart w:id="166"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65">
        <w:r>
          <w:rPr>
            <w:rStyle w:val="Hyperlink"/>
          </w:rPr>
          <w:t xml:space="preserve">https://doi.org/10.1016/j.biopsych.2017.12.017</w:t>
        </w:r>
      </w:hyperlink>
    </w:p>
    <w:bookmarkEnd w:id="166"/>
    <w:bookmarkStart w:id="168"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67">
        <w:r>
          <w:rPr>
            <w:rStyle w:val="Hyperlink"/>
          </w:rPr>
          <w:t xml:space="preserve">https://doi.org/10.1037/met0000275</w:t>
        </w:r>
      </w:hyperlink>
    </w:p>
    <w:bookmarkEnd w:id="168"/>
    <w:bookmarkStart w:id="169"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69"/>
    <w:bookmarkStart w:id="171"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70">
        <w:r>
          <w:rPr>
            <w:rStyle w:val="Hyperlink"/>
          </w:rPr>
          <w:t xml:space="preserve">https://doi.org/10.1214/25-ba1569</w:t>
        </w:r>
      </w:hyperlink>
    </w:p>
    <w:bookmarkEnd w:id="171"/>
    <w:bookmarkStart w:id="173"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72">
        <w:r>
          <w:rPr>
            <w:rStyle w:val="Hyperlink"/>
          </w:rPr>
          <w:t xml:space="preserve">https://doi.org/10.48550/ARXIV.1804.06788</w:t>
        </w:r>
      </w:hyperlink>
    </w:p>
    <w:bookmarkEnd w:id="173"/>
    <w:bookmarkStart w:id="175"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74">
        <w:r>
          <w:rPr>
            <w:rStyle w:val="Hyperlink"/>
          </w:rPr>
          <w:t xml:space="preserve">https://doi.org/10.1007/s11222-016-9696-4</w:t>
        </w:r>
      </w:hyperlink>
    </w:p>
    <w:bookmarkEnd w:id="175"/>
    <w:bookmarkStart w:id="177"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176">
        <w:r>
          <w:rPr>
            <w:rStyle w:val="Hyperlink"/>
          </w:rPr>
          <w:t xml:space="preserve">https://doi.org/10.1016/j.concog.2021.103196</w:t>
        </w:r>
      </w:hyperlink>
    </w:p>
    <w:bookmarkEnd w:id="177"/>
    <w:bookmarkStart w:id="179"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178">
        <w:r>
          <w:rPr>
            <w:rStyle w:val="Hyperlink"/>
          </w:rPr>
          <w:t xml:space="preserve">https://doi.org/10.1017/s0140525x20001685</w:t>
        </w:r>
      </w:hyperlink>
    </w:p>
    <w:bookmarkEnd w:id="179"/>
    <w:bookmarkEnd w:id="180"/>
    <w:p>
      <w:r>
        <w:br w:type="page"/>
      </w:r>
    </w:p>
    <w:bookmarkEnd w:id="181"/>
    <w:p>
      <w:pPr>
        <w:pStyle w:val="Heading1"/>
      </w:pPr>
      <w:r>
        <w:t xml:space="preserve">Appendix</w:t>
      </w:r>
    </w:p>
    <w:bookmarkStart w:id="182"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r>
        <w:t xml:space="preserve"> </w:t>
      </w:r>
      <w:r>
        <w:t xml:space="preserve"> </w:t>
      </w:r>
      <w:r>
        <w:t xml:space="preserve">And for the multinomial likelihood:</w:t>
      </w:r>
      <w:r>
        <w:t xml:space="preserve"> </w:t>
      </w:r>
      <w:r>
        <w:t xml:space="preserve"> </w:t>
      </w: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r>
        <w:t xml:space="preserve"> </w:t>
      </w:r>
    </w:p>
    <w:p>
      <w:pPr>
        <w:pStyle w:val="BodyText"/>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function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r>
        <w:t xml:space="preserve"> </w:t>
      </w:r>
      <w:r>
        <w:t xml:space="preserve"> </w:t>
      </w: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1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very infrequent in controlled laboratory tasks.</w:t>
      </w:r>
    </w:p>
  </w:footnote>
  <w:footnote w:id="39">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59">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68">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69">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78">
    <w:p>
      <w:pPr>
        <w:pStyle w:val="FootnoteText"/>
      </w:pPr>
      <w:r>
        <w:rPr>
          <w:rStyle w:val="FootnoteReference"/>
        </w:rPr>
        <w:footnoteRef/>
      </w:r>
      <w:r>
        <w:t xml:space="preserve"> </w:t>
      </w:r>
      <w:r>
        <w:t xml:space="preserve">Divergent transitions are a diagnostic specific to Hamiltonian Monte Carlo, the model-fitting algorithm used by Stan. So, models previously fit using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likely means that the posterior approximations obtained by JAGS are also jeopardized.</w:t>
      </w:r>
    </w:p>
  </w:footnote>
  <w:footnote w:id="79">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71" Target="media/rId71.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74" Target="media/rId74.png" /><Relationship Type="http://schemas.openxmlformats.org/officeDocument/2006/relationships/image" Id="rId40" Target="media/rId40.svg" /><Relationship Type="http://schemas.openxmlformats.org/officeDocument/2006/relationships/hyperlink" Id="rId63" Target="https://cran.r-project.org/bin/windows/Rtools/" TargetMode="External" /><Relationship Type="http://schemas.openxmlformats.org/officeDocument/2006/relationships/hyperlink" Id="rId149" Target="https://doi.org/10.1007/978-3-642-45190-4_3" TargetMode="External" /><Relationship Type="http://schemas.openxmlformats.org/officeDocument/2006/relationships/hyperlink" Id="rId174" Target="https://doi.org/10.1007/s11222-016-9696-4" TargetMode="External" /><Relationship Type="http://schemas.openxmlformats.org/officeDocument/2006/relationships/hyperlink" Id="rId137" Target="https://doi.org/10.1007/s11222-023-10366-5" TargetMode="External" /><Relationship Type="http://schemas.openxmlformats.org/officeDocument/2006/relationships/hyperlink" Id="rId165" Target="https://doi.org/10.1016/j.biopsych.2017.12.017" TargetMode="External" /><Relationship Type="http://schemas.openxmlformats.org/officeDocument/2006/relationships/hyperlink" Id="rId147" Target="https://doi.org/10.1016/j.concog.2011.09.021" TargetMode="External" /><Relationship Type="http://schemas.openxmlformats.org/officeDocument/2006/relationships/hyperlink" Id="rId176" Target="https://doi.org/10.1016/j.concog.2021.103196" TargetMode="External" /><Relationship Type="http://schemas.openxmlformats.org/officeDocument/2006/relationships/hyperlink" Id="rId178" Target="https://doi.org/10.1017/s0140525x20001685" TargetMode="External" /><Relationship Type="http://schemas.openxmlformats.org/officeDocument/2006/relationships/hyperlink" Id="rId157" Target="https://doi.org/10.1037/amp0000937" TargetMode="External" /><Relationship Type="http://schemas.openxmlformats.org/officeDocument/2006/relationships/hyperlink" Id="rId167" Target="https://doi.org/10.1037/met0000275" TargetMode="External" /><Relationship Type="http://schemas.openxmlformats.org/officeDocument/2006/relationships/hyperlink" Id="rId161" Target="https://doi.org/10.1037/met0000634" TargetMode="External" /><Relationship Type="http://schemas.openxmlformats.org/officeDocument/2006/relationships/hyperlink" Id="rId159" Target="https://doi.org/10.1038/s41467-025-56117-0" TargetMode="External" /><Relationship Type="http://schemas.openxmlformats.org/officeDocument/2006/relationships/hyperlink" Id="rId155" Target="https://doi.org/10.1093/cercor/bhae455" TargetMode="External" /><Relationship Type="http://schemas.openxmlformats.org/officeDocument/2006/relationships/hyperlink" Id="rId133"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63"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2" Target="https://doi.org/10.1214/23-ba1404" TargetMode="External" /><Relationship Type="http://schemas.openxmlformats.org/officeDocument/2006/relationships/hyperlink" Id="rId170" Target="https://doi.org/10.1214/25-ba1569" TargetMode="External" /><Relationship Type="http://schemas.openxmlformats.org/officeDocument/2006/relationships/hyperlink" Id="rId115" Target="https://doi.org/10.18637/jss.v080.i01" TargetMode="External" /><Relationship Type="http://schemas.openxmlformats.org/officeDocument/2006/relationships/hyperlink" Id="rId139"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43" Target="https://doi.org/10.3389/fpsyg.2019.02767" TargetMode="External" /><Relationship Type="http://schemas.openxmlformats.org/officeDocument/2006/relationships/hyperlink" Id="rId135" Target="https://doi.org/10.3758/bf03203619" TargetMode="External" /><Relationship Type="http://schemas.openxmlformats.org/officeDocument/2006/relationships/hyperlink" Id="rId141" Target="https://doi.org/10.3758/s13423-017-1272-1" TargetMode="External" /><Relationship Type="http://schemas.openxmlformats.org/officeDocument/2006/relationships/hyperlink" Id="rId145"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72" Target="https://doi.org/10.48550/ARXIV.1804.06788"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bin/windows/Rtools/" TargetMode="External" /><Relationship Type="http://schemas.openxmlformats.org/officeDocument/2006/relationships/hyperlink" Id="rId149" Target="https://doi.org/10.1007/978-3-642-45190-4_3" TargetMode="External" /><Relationship Type="http://schemas.openxmlformats.org/officeDocument/2006/relationships/hyperlink" Id="rId174" Target="https://doi.org/10.1007/s11222-016-9696-4" TargetMode="External" /><Relationship Type="http://schemas.openxmlformats.org/officeDocument/2006/relationships/hyperlink" Id="rId137" Target="https://doi.org/10.1007/s11222-023-10366-5" TargetMode="External" /><Relationship Type="http://schemas.openxmlformats.org/officeDocument/2006/relationships/hyperlink" Id="rId165" Target="https://doi.org/10.1016/j.biopsych.2017.12.017" TargetMode="External" /><Relationship Type="http://schemas.openxmlformats.org/officeDocument/2006/relationships/hyperlink" Id="rId147" Target="https://doi.org/10.1016/j.concog.2011.09.021" TargetMode="External" /><Relationship Type="http://schemas.openxmlformats.org/officeDocument/2006/relationships/hyperlink" Id="rId176" Target="https://doi.org/10.1016/j.concog.2021.103196" TargetMode="External" /><Relationship Type="http://schemas.openxmlformats.org/officeDocument/2006/relationships/hyperlink" Id="rId178" Target="https://doi.org/10.1017/s0140525x20001685" TargetMode="External" /><Relationship Type="http://schemas.openxmlformats.org/officeDocument/2006/relationships/hyperlink" Id="rId157" Target="https://doi.org/10.1037/amp0000937" TargetMode="External" /><Relationship Type="http://schemas.openxmlformats.org/officeDocument/2006/relationships/hyperlink" Id="rId167" Target="https://doi.org/10.1037/met0000275" TargetMode="External" /><Relationship Type="http://schemas.openxmlformats.org/officeDocument/2006/relationships/hyperlink" Id="rId161" Target="https://doi.org/10.1037/met0000634" TargetMode="External" /><Relationship Type="http://schemas.openxmlformats.org/officeDocument/2006/relationships/hyperlink" Id="rId159" Target="https://doi.org/10.1038/s41467-025-56117-0" TargetMode="External" /><Relationship Type="http://schemas.openxmlformats.org/officeDocument/2006/relationships/hyperlink" Id="rId155" Target="https://doi.org/10.1093/cercor/bhae455" TargetMode="External" /><Relationship Type="http://schemas.openxmlformats.org/officeDocument/2006/relationships/hyperlink" Id="rId133"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63"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2" Target="https://doi.org/10.1214/23-ba1404" TargetMode="External" /><Relationship Type="http://schemas.openxmlformats.org/officeDocument/2006/relationships/hyperlink" Id="rId170" Target="https://doi.org/10.1214/25-ba1569" TargetMode="External" /><Relationship Type="http://schemas.openxmlformats.org/officeDocument/2006/relationships/hyperlink" Id="rId115" Target="https://doi.org/10.18637/jss.v080.i01" TargetMode="External" /><Relationship Type="http://schemas.openxmlformats.org/officeDocument/2006/relationships/hyperlink" Id="rId139"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43" Target="https://doi.org/10.3389/fpsyg.2019.02767" TargetMode="External" /><Relationship Type="http://schemas.openxmlformats.org/officeDocument/2006/relationships/hyperlink" Id="rId135" Target="https://doi.org/10.3758/bf03203619" TargetMode="External" /><Relationship Type="http://schemas.openxmlformats.org/officeDocument/2006/relationships/hyperlink" Id="rId141" Target="https://doi.org/10.3758/s13423-017-1272-1" TargetMode="External" /><Relationship Type="http://schemas.openxmlformats.org/officeDocument/2006/relationships/hyperlink" Id="rId145"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72" Target="https://doi.org/10.48550/ARXIV.1804.06788"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METACOGNITIVE PERFORMANCE WITH hmetad</dc:description>
  <dc:language>en</dc:language>
  <cp:keywords>metacognition, Bayesian statistics, multilevel modeling</cp:keywords>
  <dcterms:created xsi:type="dcterms:W3CDTF">2026-09-23T13:02:04Z</dcterms:created>
  <dcterms:modified xsi:type="dcterms:W3CDTF">2026-09-23T13:02:04Z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performance independently from task-related performance. While there is now a proliferation of generative models of confidence in numerous psychological tasks, the meta-d' model remains a popular approach to estimating metacognitive sensitivity and metacognitive bias in the framework of Signal Detection Theory. However, as research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easily fit the meta-d' model for a wide range of experimental designs using a familiar formula syntax. We also review how the meta-d' model can be validated in a Bayesian workflow focused on a range of posterior estimates. Overall, the hmetad package offers a comprehensive interface to fitting, evaluating, and visualizing signal detection theoretic models of metacognitive performance.</vt:lpwstr>
  </property>
  <property fmtid="{D5CDD505-2E9C-101B-9397-08002B2CF9AE}" pid="5" name="apaauthor">
    <vt:lpwstr/>
  </property>
  <property fmtid="{D5CDD505-2E9C-101B-9397-08002B2CF9AE}" pid="6" name="apatitle">
    <vt:lpwstr>Quantifying metacognitive performance with the hmetad package in R</vt:lpwstr>
  </property>
  <property fmtid="{D5CDD505-2E9C-101B-9397-08002B2CF9AE}" pid="7" name="apatitledisplay">
    <vt:lpwstr>Quantifying metacognitive performance with the hmetad package in R</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fig-cap-location">
    <vt:lpwstr>top</vt:lpwstr>
  </property>
  <property fmtid="{D5CDD505-2E9C-101B-9397-08002B2CF9AE}" pid="17" name="floatsintext">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mask">
    <vt:lpwstr>False</vt:lpwstr>
  </property>
  <property fmtid="{D5CDD505-2E9C-101B-9397-08002B2CF9AE}" pid="26" name="meta-analysi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False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preview">
    <vt:lpwstr/>
  </property>
  <property fmtid="{D5CDD505-2E9C-101B-9397-08002B2CF9AE}" pid="34" name="references">
    <vt:lpwstr/>
  </property>
  <property fmtid="{D5CDD505-2E9C-101B-9397-08002B2CF9AE}" pid="35" name="revealjs-plugins">
    <vt:lpwstr/>
  </property>
  <property fmtid="{D5CDD505-2E9C-101B-9397-08002B2CF9AE}" pid="36" name="shorttitle">
    <vt:lpwstr>QUANTIFYING METACOGNITIVE PERFORMANCE WITH hmetad</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11440</vt:lpwstr>
  </property>
  <property fmtid="{D5CDD505-2E9C-101B-9397-08002B2CF9AE}" pid="66" name="zerocitations">
    <vt:lpwstr>False</vt:lpwstr>
  </property>
</Properties>
</file>