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6A37" w14:textId="58C599ED" w:rsidR="005B4C58" w:rsidRDefault="00DB1C16" w:rsidP="00DB1C16">
      <w:pPr>
        <w:pStyle w:val="BodyText"/>
        <w:jc w:val="center"/>
        <w:rPr>
          <w:rFonts w:ascii="Times New Roman"/>
          <w:sz w:val="20"/>
        </w:rPr>
      </w:pPr>
      <w:r>
        <w:rPr>
          <w:noProof/>
        </w:rPr>
        <w:drawing>
          <wp:inline distT="0" distB="0" distL="0" distR="0" wp14:anchorId="2FAF06DE" wp14:editId="1BAF8F38">
            <wp:extent cx="2895039" cy="2526923"/>
            <wp:effectExtent l="0" t="0" r="635" b="6985"/>
            <wp:docPr id="14182894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55544" cy="2579734"/>
                    </a:xfrm>
                    <a:prstGeom prst="rect">
                      <a:avLst/>
                    </a:prstGeom>
                    <a:noFill/>
                    <a:ln>
                      <a:noFill/>
                    </a:ln>
                  </pic:spPr>
                </pic:pic>
              </a:graphicData>
            </a:graphic>
          </wp:inline>
        </w:drawing>
      </w:r>
    </w:p>
    <w:p w14:paraId="33CC6A38" w14:textId="77777777" w:rsidR="005B4C58" w:rsidRDefault="005B4C58">
      <w:pPr>
        <w:pStyle w:val="BodyText"/>
        <w:rPr>
          <w:rFonts w:ascii="Times New Roman"/>
          <w:sz w:val="20"/>
        </w:rPr>
      </w:pPr>
    </w:p>
    <w:p w14:paraId="33CC6A44" w14:textId="77777777" w:rsidR="005B4C58" w:rsidRDefault="00F86057">
      <w:pPr>
        <w:pStyle w:val="Title"/>
      </w:pPr>
      <w:r>
        <w:rPr>
          <w:color w:val="7E7E7E"/>
        </w:rPr>
        <w:t>Business</w:t>
      </w:r>
      <w:r>
        <w:rPr>
          <w:color w:val="7E7E7E"/>
          <w:spacing w:val="-4"/>
        </w:rPr>
        <w:t xml:space="preserve"> Plan</w:t>
      </w:r>
    </w:p>
    <w:p w14:paraId="33CC6A47" w14:textId="77777777" w:rsidR="005B4C58" w:rsidRDefault="005B4C58">
      <w:pPr>
        <w:pStyle w:val="BodyText"/>
        <w:spacing w:before="210"/>
        <w:rPr>
          <w:b/>
          <w:sz w:val="40"/>
        </w:rPr>
      </w:pPr>
    </w:p>
    <w:p w14:paraId="165823CB" w14:textId="4E61F0D2" w:rsidR="001B1D69" w:rsidRDefault="00F86057" w:rsidP="001B1D69">
      <w:pPr>
        <w:spacing w:line="508" w:lineRule="auto"/>
        <w:ind w:left="2160" w:right="2030"/>
        <w:jc w:val="center"/>
        <w:rPr>
          <w:color w:val="7E7E7E"/>
          <w:sz w:val="28"/>
        </w:rPr>
      </w:pPr>
      <w:r>
        <w:rPr>
          <w:color w:val="7E7E7E"/>
          <w:sz w:val="28"/>
        </w:rPr>
        <w:t>By</w:t>
      </w:r>
      <w:r>
        <w:rPr>
          <w:color w:val="7E7E7E"/>
          <w:spacing w:val="-19"/>
          <w:sz w:val="28"/>
        </w:rPr>
        <w:t xml:space="preserve"> </w:t>
      </w:r>
      <w:r w:rsidR="00202557">
        <w:rPr>
          <w:color w:val="7E7E7E"/>
          <w:sz w:val="28"/>
        </w:rPr>
        <w:t xml:space="preserve">Cook Group </w:t>
      </w:r>
      <w:r w:rsidR="00ED02B7">
        <w:rPr>
          <w:color w:val="7E7E7E"/>
          <w:sz w:val="28"/>
        </w:rPr>
        <w:t>A</w:t>
      </w:r>
      <w:r w:rsidR="00202557">
        <w:rPr>
          <w:color w:val="7E7E7E"/>
          <w:sz w:val="28"/>
        </w:rPr>
        <w:t>nalytics</w:t>
      </w:r>
    </w:p>
    <w:p w14:paraId="33CC6A48" w14:textId="0DDDA691" w:rsidR="005B4C58" w:rsidRDefault="001B1D69" w:rsidP="001B1D69">
      <w:pPr>
        <w:spacing w:line="508" w:lineRule="auto"/>
        <w:ind w:left="2160" w:right="2030"/>
        <w:jc w:val="center"/>
        <w:rPr>
          <w:sz w:val="28"/>
        </w:rPr>
      </w:pPr>
      <w:r>
        <w:rPr>
          <w:color w:val="7E7E7E"/>
          <w:spacing w:val="-2"/>
          <w:sz w:val="28"/>
        </w:rPr>
        <w:t>February 2026</w:t>
      </w:r>
    </w:p>
    <w:p w14:paraId="33CC6A49" w14:textId="77777777" w:rsidR="005B4C58" w:rsidRDefault="005B4C58">
      <w:pPr>
        <w:pStyle w:val="BodyText"/>
        <w:rPr>
          <w:sz w:val="20"/>
        </w:rPr>
      </w:pPr>
    </w:p>
    <w:p w14:paraId="33CC6A4A" w14:textId="77777777" w:rsidR="005B4C58" w:rsidRDefault="005B4C58">
      <w:pPr>
        <w:pStyle w:val="BodyText"/>
        <w:rPr>
          <w:sz w:val="20"/>
        </w:rPr>
      </w:pPr>
    </w:p>
    <w:p w14:paraId="33CC6A4B" w14:textId="77777777" w:rsidR="005B4C58" w:rsidRDefault="005B4C58">
      <w:pPr>
        <w:pStyle w:val="BodyText"/>
        <w:rPr>
          <w:sz w:val="20"/>
        </w:rPr>
      </w:pPr>
    </w:p>
    <w:p w14:paraId="33CC6A4C" w14:textId="77777777" w:rsidR="005B4C58" w:rsidRDefault="005B4C58">
      <w:pPr>
        <w:pStyle w:val="BodyText"/>
        <w:rPr>
          <w:sz w:val="20"/>
        </w:rPr>
      </w:pPr>
    </w:p>
    <w:p w14:paraId="33CC6A4D" w14:textId="77777777" w:rsidR="005B4C58" w:rsidRDefault="005B4C58">
      <w:pPr>
        <w:pStyle w:val="BodyText"/>
        <w:rPr>
          <w:sz w:val="20"/>
        </w:rPr>
      </w:pPr>
    </w:p>
    <w:p w14:paraId="33CC6A4E" w14:textId="77777777" w:rsidR="005B4C58" w:rsidRDefault="005B4C58">
      <w:pPr>
        <w:pStyle w:val="BodyText"/>
        <w:rPr>
          <w:sz w:val="20"/>
        </w:rPr>
      </w:pPr>
    </w:p>
    <w:p w14:paraId="33CC6A4F" w14:textId="77777777" w:rsidR="005B4C58" w:rsidRDefault="005B4C58">
      <w:pPr>
        <w:pStyle w:val="BodyText"/>
        <w:rPr>
          <w:sz w:val="20"/>
        </w:rPr>
      </w:pPr>
    </w:p>
    <w:p w14:paraId="33CC6A50" w14:textId="77777777" w:rsidR="005B4C58" w:rsidRDefault="005B4C58">
      <w:pPr>
        <w:pStyle w:val="BodyText"/>
        <w:rPr>
          <w:sz w:val="20"/>
        </w:rPr>
      </w:pPr>
    </w:p>
    <w:p w14:paraId="33CC6A51" w14:textId="77777777" w:rsidR="005B4C58" w:rsidRDefault="005B4C58">
      <w:pPr>
        <w:pStyle w:val="BodyText"/>
        <w:rPr>
          <w:sz w:val="20"/>
        </w:rPr>
      </w:pPr>
    </w:p>
    <w:p w14:paraId="33CC6A52" w14:textId="77777777" w:rsidR="005B4C58" w:rsidRDefault="005B4C58">
      <w:pPr>
        <w:pStyle w:val="BodyText"/>
        <w:rPr>
          <w:sz w:val="20"/>
        </w:rPr>
      </w:pPr>
    </w:p>
    <w:p w14:paraId="33CC6A53" w14:textId="77777777" w:rsidR="005B4C58" w:rsidRDefault="005B4C58">
      <w:pPr>
        <w:pStyle w:val="BodyText"/>
        <w:rPr>
          <w:sz w:val="20"/>
        </w:rPr>
      </w:pPr>
    </w:p>
    <w:p w14:paraId="33CC6A54" w14:textId="77777777" w:rsidR="005B4C58" w:rsidRDefault="005B4C58">
      <w:pPr>
        <w:pStyle w:val="BodyText"/>
        <w:rPr>
          <w:sz w:val="20"/>
        </w:rPr>
      </w:pPr>
    </w:p>
    <w:p w14:paraId="33CC6A55" w14:textId="77777777" w:rsidR="005B4C58" w:rsidRDefault="005B4C58">
      <w:pPr>
        <w:pStyle w:val="BodyText"/>
        <w:rPr>
          <w:sz w:val="20"/>
        </w:rPr>
      </w:pPr>
    </w:p>
    <w:p w14:paraId="63D13F5E" w14:textId="77777777" w:rsidR="00DB1C16" w:rsidRDefault="00DB1C16">
      <w:pPr>
        <w:pStyle w:val="BodyText"/>
        <w:rPr>
          <w:sz w:val="20"/>
        </w:rPr>
      </w:pPr>
    </w:p>
    <w:p w14:paraId="512BC699" w14:textId="77777777" w:rsidR="00DB1C16" w:rsidRDefault="00DB1C16">
      <w:pPr>
        <w:pStyle w:val="BodyText"/>
        <w:rPr>
          <w:sz w:val="20"/>
        </w:rPr>
      </w:pPr>
    </w:p>
    <w:p w14:paraId="10072152" w14:textId="77777777" w:rsidR="00DB1C16" w:rsidRDefault="00DB1C16">
      <w:pPr>
        <w:pStyle w:val="BodyText"/>
        <w:rPr>
          <w:sz w:val="20"/>
        </w:rPr>
      </w:pPr>
    </w:p>
    <w:p w14:paraId="203619CF" w14:textId="77777777" w:rsidR="00DB1C16" w:rsidRDefault="00DB1C16">
      <w:pPr>
        <w:pStyle w:val="BodyText"/>
        <w:rPr>
          <w:sz w:val="20"/>
        </w:rPr>
      </w:pPr>
    </w:p>
    <w:p w14:paraId="5C271669" w14:textId="77777777" w:rsidR="00DB1C16" w:rsidRDefault="00DB1C16">
      <w:pPr>
        <w:pStyle w:val="BodyText"/>
        <w:rPr>
          <w:sz w:val="20"/>
        </w:rPr>
      </w:pPr>
    </w:p>
    <w:p w14:paraId="556F9BE3" w14:textId="77777777" w:rsidR="00DB1C16" w:rsidRDefault="00DB1C16">
      <w:pPr>
        <w:pStyle w:val="BodyText"/>
        <w:rPr>
          <w:sz w:val="20"/>
        </w:rPr>
      </w:pPr>
    </w:p>
    <w:p w14:paraId="33CC6A56" w14:textId="77777777" w:rsidR="005B4C58" w:rsidRDefault="005B4C58">
      <w:pPr>
        <w:pStyle w:val="BodyText"/>
        <w:rPr>
          <w:sz w:val="20"/>
        </w:rPr>
      </w:pPr>
    </w:p>
    <w:p w14:paraId="33CC6A57" w14:textId="77777777" w:rsidR="005B4C58" w:rsidRDefault="005B4C58">
      <w:pPr>
        <w:pStyle w:val="BodyText"/>
        <w:spacing w:before="60"/>
        <w:rPr>
          <w:sz w:val="20"/>
        </w:rPr>
      </w:pPr>
    </w:p>
    <w:tbl>
      <w:tblPr>
        <w:tblW w:w="0" w:type="auto"/>
        <w:tblInd w:w="24" w:type="dxa"/>
        <w:tblLayout w:type="fixed"/>
        <w:tblCellMar>
          <w:left w:w="0" w:type="dxa"/>
          <w:right w:w="0" w:type="dxa"/>
        </w:tblCellMar>
        <w:tblLook w:val="01E0" w:firstRow="1" w:lastRow="1" w:firstColumn="1" w:lastColumn="1" w:noHBand="0" w:noVBand="0"/>
      </w:tblPr>
      <w:tblGrid>
        <w:gridCol w:w="2217"/>
        <w:gridCol w:w="3952"/>
        <w:gridCol w:w="2223"/>
      </w:tblGrid>
      <w:tr w:rsidR="006E6B9A" w:rsidRPr="00477C90" w14:paraId="6808F72D" w14:textId="77777777" w:rsidTr="00E02384">
        <w:trPr>
          <w:trHeight w:val="417"/>
        </w:trPr>
        <w:tc>
          <w:tcPr>
            <w:tcW w:w="2217" w:type="dxa"/>
          </w:tcPr>
          <w:p w14:paraId="6C9A0EB6" w14:textId="77777777" w:rsidR="006E6B9A" w:rsidRPr="00477C90" w:rsidRDefault="006E6B9A" w:rsidP="00E02384">
            <w:pPr>
              <w:pStyle w:val="TableParagraph"/>
              <w:spacing w:before="141" w:line="256" w:lineRule="exact"/>
              <w:ind w:left="50"/>
              <w:jc w:val="left"/>
              <w:rPr>
                <w:b/>
                <w:szCs w:val="20"/>
              </w:rPr>
            </w:pPr>
            <w:r w:rsidRPr="00477C90">
              <w:rPr>
                <w:b/>
                <w:color w:val="7E7E7E"/>
                <w:szCs w:val="20"/>
              </w:rPr>
              <w:t>Kerryann Cook</w:t>
            </w:r>
          </w:p>
        </w:tc>
        <w:tc>
          <w:tcPr>
            <w:tcW w:w="3952" w:type="dxa"/>
          </w:tcPr>
          <w:p w14:paraId="6D3352A7" w14:textId="77777777" w:rsidR="006E6B9A" w:rsidRPr="00477C90" w:rsidRDefault="006E6B9A" w:rsidP="00E02384">
            <w:pPr>
              <w:pStyle w:val="TableParagraph"/>
              <w:spacing w:before="141" w:line="256" w:lineRule="exact"/>
              <w:rPr>
                <w:b/>
                <w:szCs w:val="20"/>
              </w:rPr>
            </w:pPr>
            <w:hyperlink r:id="rId9" w:history="1">
              <w:r w:rsidRPr="00477C90">
                <w:rPr>
                  <w:rStyle w:val="Hyperlink"/>
                  <w:b/>
                  <w:spacing w:val="-2"/>
                  <w:szCs w:val="20"/>
                </w:rPr>
                <w:t>kcook@cookgrouplegal.com</w:t>
              </w:r>
            </w:hyperlink>
          </w:p>
        </w:tc>
        <w:tc>
          <w:tcPr>
            <w:tcW w:w="2223" w:type="dxa"/>
          </w:tcPr>
          <w:p w14:paraId="64F6B84B" w14:textId="77777777" w:rsidR="006E6B9A" w:rsidRPr="00477C90" w:rsidRDefault="006E6B9A" w:rsidP="00E02384">
            <w:pPr>
              <w:pStyle w:val="TableParagraph"/>
              <w:spacing w:before="141" w:line="256" w:lineRule="exact"/>
              <w:ind w:right="47"/>
              <w:jc w:val="right"/>
              <w:rPr>
                <w:b/>
                <w:szCs w:val="20"/>
              </w:rPr>
            </w:pPr>
            <w:r w:rsidRPr="00477C90">
              <w:rPr>
                <w:b/>
                <w:color w:val="7E7E7E"/>
                <w:spacing w:val="-2"/>
                <w:szCs w:val="20"/>
              </w:rPr>
              <w:t>845-270-0902</w:t>
            </w:r>
          </w:p>
        </w:tc>
      </w:tr>
      <w:tr w:rsidR="005B4C58" w:rsidRPr="00477C90" w14:paraId="33CC6A5B" w14:textId="77777777">
        <w:trPr>
          <w:trHeight w:val="417"/>
        </w:trPr>
        <w:tc>
          <w:tcPr>
            <w:tcW w:w="2217" w:type="dxa"/>
          </w:tcPr>
          <w:p w14:paraId="727A2F56" w14:textId="77777777" w:rsidR="006E6B9A" w:rsidRDefault="006E6B9A">
            <w:pPr>
              <w:pStyle w:val="TableParagraph"/>
              <w:spacing w:line="268" w:lineRule="exact"/>
              <w:ind w:left="50"/>
              <w:jc w:val="left"/>
              <w:rPr>
                <w:b/>
                <w:color w:val="7E7E7E"/>
                <w:szCs w:val="20"/>
              </w:rPr>
            </w:pPr>
          </w:p>
          <w:p w14:paraId="33CC6A58" w14:textId="3AFF62B3" w:rsidR="005B4C58" w:rsidRPr="00477C90" w:rsidRDefault="00472377">
            <w:pPr>
              <w:pStyle w:val="TableParagraph"/>
              <w:spacing w:line="268" w:lineRule="exact"/>
              <w:ind w:left="50"/>
              <w:jc w:val="left"/>
              <w:rPr>
                <w:b/>
                <w:szCs w:val="20"/>
              </w:rPr>
            </w:pPr>
            <w:r w:rsidRPr="00477C90">
              <w:rPr>
                <w:b/>
                <w:color w:val="7E7E7E"/>
                <w:szCs w:val="20"/>
              </w:rPr>
              <w:t>Kevin Hannemann</w:t>
            </w:r>
          </w:p>
        </w:tc>
        <w:tc>
          <w:tcPr>
            <w:tcW w:w="3952" w:type="dxa"/>
          </w:tcPr>
          <w:p w14:paraId="716C3582" w14:textId="77777777" w:rsidR="006E6B9A" w:rsidRDefault="006E6B9A">
            <w:pPr>
              <w:pStyle w:val="TableParagraph"/>
              <w:spacing w:line="268" w:lineRule="exact"/>
              <w:rPr>
                <w:b/>
                <w:color w:val="7E7E7E"/>
                <w:spacing w:val="-2"/>
                <w:szCs w:val="20"/>
              </w:rPr>
            </w:pPr>
          </w:p>
          <w:p w14:paraId="33CC6A59" w14:textId="52519679" w:rsidR="005B4C58" w:rsidRPr="00477C90" w:rsidRDefault="006E6B9A">
            <w:pPr>
              <w:pStyle w:val="TableParagraph"/>
              <w:spacing w:line="268" w:lineRule="exact"/>
              <w:rPr>
                <w:b/>
                <w:szCs w:val="20"/>
              </w:rPr>
            </w:pPr>
            <w:hyperlink r:id="rId10" w:history="1">
              <w:r w:rsidRPr="00C43F72">
                <w:rPr>
                  <w:rStyle w:val="Hyperlink"/>
                  <w:b/>
                  <w:spacing w:val="-2"/>
                  <w:szCs w:val="20"/>
                </w:rPr>
                <w:t>khannemann@cookgrouplegal.com</w:t>
              </w:r>
            </w:hyperlink>
          </w:p>
        </w:tc>
        <w:tc>
          <w:tcPr>
            <w:tcW w:w="2223" w:type="dxa"/>
          </w:tcPr>
          <w:p w14:paraId="21141AB8" w14:textId="77777777" w:rsidR="006E6B9A" w:rsidRDefault="006E6B9A">
            <w:pPr>
              <w:pStyle w:val="TableParagraph"/>
              <w:spacing w:line="268" w:lineRule="exact"/>
              <w:ind w:right="47"/>
              <w:jc w:val="right"/>
              <w:rPr>
                <w:b/>
                <w:color w:val="7E7E7E"/>
                <w:spacing w:val="-2"/>
                <w:szCs w:val="20"/>
              </w:rPr>
            </w:pPr>
          </w:p>
          <w:p w14:paraId="33CC6A5A" w14:textId="64C628B2" w:rsidR="005B4C58" w:rsidRPr="00477C90" w:rsidRDefault="001C4E09">
            <w:pPr>
              <w:pStyle w:val="TableParagraph"/>
              <w:spacing w:line="268" w:lineRule="exact"/>
              <w:ind w:right="47"/>
              <w:jc w:val="right"/>
              <w:rPr>
                <w:b/>
                <w:szCs w:val="20"/>
              </w:rPr>
            </w:pPr>
            <w:r w:rsidRPr="00477C90">
              <w:rPr>
                <w:b/>
                <w:color w:val="7E7E7E"/>
                <w:spacing w:val="-2"/>
                <w:szCs w:val="20"/>
              </w:rPr>
              <w:t>646-508-5066</w:t>
            </w:r>
          </w:p>
        </w:tc>
      </w:tr>
      <w:tr w:rsidR="005B4C58" w:rsidRPr="00477C90" w14:paraId="33CC6A5F" w14:textId="77777777">
        <w:trPr>
          <w:trHeight w:val="417"/>
        </w:trPr>
        <w:tc>
          <w:tcPr>
            <w:tcW w:w="2217" w:type="dxa"/>
          </w:tcPr>
          <w:p w14:paraId="33CC6A5C" w14:textId="4C6227B4" w:rsidR="005B4C58" w:rsidRPr="00477C90" w:rsidRDefault="005B4C58">
            <w:pPr>
              <w:pStyle w:val="TableParagraph"/>
              <w:spacing w:before="141" w:line="256" w:lineRule="exact"/>
              <w:ind w:left="50"/>
              <w:jc w:val="left"/>
              <w:rPr>
                <w:b/>
                <w:szCs w:val="20"/>
              </w:rPr>
            </w:pPr>
          </w:p>
        </w:tc>
        <w:tc>
          <w:tcPr>
            <w:tcW w:w="3952" w:type="dxa"/>
          </w:tcPr>
          <w:p w14:paraId="33CC6A5D" w14:textId="21FEF0A1" w:rsidR="005B4C58" w:rsidRPr="00477C90" w:rsidRDefault="005B4C58">
            <w:pPr>
              <w:pStyle w:val="TableParagraph"/>
              <w:spacing w:before="141" w:line="256" w:lineRule="exact"/>
              <w:rPr>
                <w:b/>
                <w:szCs w:val="20"/>
              </w:rPr>
            </w:pPr>
          </w:p>
        </w:tc>
        <w:tc>
          <w:tcPr>
            <w:tcW w:w="2223" w:type="dxa"/>
          </w:tcPr>
          <w:p w14:paraId="33CC6A5E" w14:textId="5305D666" w:rsidR="005B4C58" w:rsidRPr="00477C90" w:rsidRDefault="005B4C58">
            <w:pPr>
              <w:pStyle w:val="TableParagraph"/>
              <w:spacing w:before="141" w:line="256" w:lineRule="exact"/>
              <w:ind w:right="47"/>
              <w:jc w:val="right"/>
              <w:rPr>
                <w:b/>
                <w:szCs w:val="20"/>
              </w:rPr>
            </w:pPr>
          </w:p>
        </w:tc>
      </w:tr>
    </w:tbl>
    <w:p w14:paraId="33CC6A60" w14:textId="77777777" w:rsidR="005B4C58" w:rsidRDefault="005B4C58">
      <w:pPr>
        <w:pStyle w:val="TableParagraph"/>
        <w:spacing w:line="256" w:lineRule="exact"/>
        <w:jc w:val="right"/>
        <w:rPr>
          <w:b/>
          <w:sz w:val="24"/>
        </w:rPr>
        <w:sectPr w:rsidR="005B4C58">
          <w:headerReference w:type="default" r:id="rId11"/>
          <w:footerReference w:type="default" r:id="rId12"/>
          <w:type w:val="continuous"/>
          <w:pgSz w:w="11910" w:h="16840"/>
          <w:pgMar w:top="1920" w:right="1700" w:bottom="280" w:left="1700" w:header="720" w:footer="720" w:gutter="0"/>
          <w:cols w:space="720"/>
        </w:sectPr>
      </w:pPr>
    </w:p>
    <w:p w14:paraId="33CC6A61" w14:textId="290D3122" w:rsidR="005B4C58" w:rsidRDefault="00F86057">
      <w:pPr>
        <w:spacing w:before="77"/>
        <w:ind w:left="100"/>
        <w:rPr>
          <w:b/>
          <w:sz w:val="32"/>
        </w:rPr>
      </w:pPr>
      <w:r>
        <w:rPr>
          <w:b/>
          <w:color w:val="135B85"/>
          <w:sz w:val="32"/>
        </w:rPr>
        <w:lastRenderedPageBreak/>
        <w:t>Table</w:t>
      </w:r>
      <w:r>
        <w:rPr>
          <w:b/>
          <w:color w:val="135B85"/>
          <w:spacing w:val="-5"/>
          <w:sz w:val="32"/>
        </w:rPr>
        <w:t xml:space="preserve"> </w:t>
      </w:r>
      <w:r>
        <w:rPr>
          <w:b/>
          <w:color w:val="135B85"/>
          <w:sz w:val="32"/>
        </w:rPr>
        <w:t>of</w:t>
      </w:r>
      <w:r>
        <w:rPr>
          <w:b/>
          <w:color w:val="135B85"/>
          <w:spacing w:val="-7"/>
          <w:sz w:val="32"/>
        </w:rPr>
        <w:t xml:space="preserve"> </w:t>
      </w:r>
      <w:r>
        <w:rPr>
          <w:b/>
          <w:color w:val="135B85"/>
          <w:spacing w:val="-2"/>
          <w:sz w:val="32"/>
        </w:rPr>
        <w:t>Contents</w:t>
      </w:r>
      <w:r w:rsidR="006E6B9A">
        <w:rPr>
          <w:b/>
          <w:color w:val="135B85"/>
          <w:spacing w:val="-2"/>
          <w:sz w:val="32"/>
        </w:rPr>
        <w:t xml:space="preserve"> </w:t>
      </w:r>
    </w:p>
    <w:p w14:paraId="33CC6A62" w14:textId="77777777" w:rsidR="005B4C58" w:rsidRDefault="00F86057">
      <w:pPr>
        <w:pStyle w:val="BodyText"/>
        <w:rPr>
          <w:b/>
          <w:sz w:val="16"/>
        </w:rPr>
      </w:pPr>
      <w:r>
        <w:rPr>
          <w:b/>
          <w:noProof/>
          <w:sz w:val="16"/>
        </w:rPr>
        <mc:AlternateContent>
          <mc:Choice Requires="wps">
            <w:drawing>
              <wp:anchor distT="0" distB="0" distL="0" distR="0" simplePos="0" relativeHeight="487587840" behindDoc="1" locked="0" layoutInCell="1" allowOverlap="1" wp14:anchorId="33CC6EF4" wp14:editId="33CC6EF5">
                <wp:simplePos x="0" y="0"/>
                <wp:positionH relativeFrom="page">
                  <wp:posOffset>1125016</wp:posOffset>
                </wp:positionH>
                <wp:positionV relativeFrom="paragraph">
                  <wp:posOffset>132226</wp:posOffset>
                </wp:positionV>
                <wp:extent cx="5312410"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12700"/>
                        </a:xfrm>
                        <a:custGeom>
                          <a:avLst/>
                          <a:gdLst/>
                          <a:ahLst/>
                          <a:cxnLst/>
                          <a:rect l="l" t="t" r="r" b="b"/>
                          <a:pathLst>
                            <a:path w="5312410" h="12700">
                              <a:moveTo>
                                <a:pt x="5312029" y="0"/>
                              </a:moveTo>
                              <a:lnTo>
                                <a:pt x="0" y="0"/>
                              </a:lnTo>
                              <a:lnTo>
                                <a:pt x="0" y="12192"/>
                              </a:lnTo>
                              <a:lnTo>
                                <a:pt x="5312029" y="12192"/>
                              </a:lnTo>
                              <a:lnTo>
                                <a:pt x="5312029"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15BE5D4F" id="Graphic 3" o:spid="_x0000_s1026" style="position:absolute;margin-left:88.6pt;margin-top:10.4pt;width:418.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3124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" path="m5312029,l,,,12192r5312029,l5312029,xe" fillcolor="#585858" stroked="f">
                <v:path arrowok="t"/>
                <w10:wrap type="topAndBottom" anchorx="page"/>
              </v:shape>
            </w:pict>
          </mc:Fallback>
        </mc:AlternateContent>
      </w:r>
    </w:p>
    <w:p w14:paraId="33CC6A63" w14:textId="77777777" w:rsidR="005B4C58" w:rsidRDefault="005B4C58">
      <w:pPr>
        <w:pStyle w:val="BodyText"/>
        <w:rPr>
          <w:b/>
        </w:rPr>
      </w:pPr>
    </w:p>
    <w:p w14:paraId="33CC6A64" w14:textId="77777777" w:rsidR="005B4C58" w:rsidRDefault="005B4C58">
      <w:pPr>
        <w:pStyle w:val="BodyText"/>
        <w:rPr>
          <w:b/>
        </w:rPr>
      </w:pPr>
    </w:p>
    <w:p w14:paraId="33CC6A65" w14:textId="77777777" w:rsidR="005B4C58" w:rsidRDefault="005B4C58">
      <w:pPr>
        <w:pStyle w:val="BodyText"/>
        <w:spacing w:before="88"/>
        <w:rPr>
          <w:b/>
        </w:rPr>
      </w:pPr>
    </w:p>
    <w:sdt>
      <w:sdtPr>
        <w:id w:val="428553450"/>
        <w:docPartObj>
          <w:docPartGallery w:val="Table of Contents"/>
          <w:docPartUnique/>
        </w:docPartObj>
      </w:sdtPr>
      <w:sdtContent>
        <w:p w14:paraId="33CC6A66" w14:textId="7F168E5F" w:rsidR="005B4C58" w:rsidRDefault="00F86057">
          <w:pPr>
            <w:pStyle w:val="TOC1"/>
            <w:tabs>
              <w:tab w:val="right" w:leader="dot" w:pos="8399"/>
            </w:tabs>
            <w:spacing w:before="0"/>
          </w:pPr>
          <w:hyperlink w:anchor="_bookmark0" w:history="1">
            <w:r>
              <w:rPr>
                <w:color w:val="7E7E7E"/>
              </w:rPr>
              <w:t>Executive</w:t>
            </w:r>
            <w:r>
              <w:rPr>
                <w:color w:val="7E7E7E"/>
                <w:spacing w:val="-12"/>
              </w:rPr>
              <w:t xml:space="preserve"> </w:t>
            </w:r>
            <w:r>
              <w:rPr>
                <w:color w:val="7E7E7E"/>
                <w:spacing w:val="-2"/>
              </w:rPr>
              <w:t>Summary</w:t>
            </w:r>
            <w:r>
              <w:rPr>
                <w:color w:val="7E7E7E"/>
              </w:rPr>
              <w:tab/>
            </w:r>
          </w:hyperlink>
          <w:r w:rsidR="00DB1C16">
            <w:t>2</w:t>
          </w:r>
        </w:p>
        <w:p w14:paraId="33CC6A67" w14:textId="40331AA9" w:rsidR="005B4C58" w:rsidRDefault="00F86057">
          <w:pPr>
            <w:pStyle w:val="TOC2"/>
            <w:tabs>
              <w:tab w:val="right" w:leader="dot" w:pos="8399"/>
            </w:tabs>
          </w:pPr>
          <w:hyperlink w:anchor="_bookmark1" w:history="1">
            <w:r>
              <w:rPr>
                <w:color w:val="7E7E7E"/>
              </w:rPr>
              <w:t>About</w:t>
            </w:r>
            <w:r>
              <w:rPr>
                <w:color w:val="7E7E7E"/>
                <w:spacing w:val="-2"/>
              </w:rPr>
              <w:t xml:space="preserve"> </w:t>
            </w:r>
            <w:r>
              <w:rPr>
                <w:color w:val="7E7E7E"/>
                <w:spacing w:val="-5"/>
              </w:rPr>
              <w:t>Us</w:t>
            </w:r>
            <w:r>
              <w:rPr>
                <w:color w:val="7E7E7E"/>
              </w:rPr>
              <w:tab/>
            </w:r>
          </w:hyperlink>
          <w:r w:rsidR="00DB1C16">
            <w:t>6</w:t>
          </w:r>
        </w:p>
        <w:p w14:paraId="33CC6A69" w14:textId="29F3BDFB" w:rsidR="005B4C58" w:rsidRDefault="00F86057">
          <w:pPr>
            <w:pStyle w:val="TOC1"/>
            <w:tabs>
              <w:tab w:val="right" w:leader="dot" w:pos="8399"/>
            </w:tabs>
          </w:pPr>
          <w:hyperlink w:anchor="_bookmark3" w:history="1">
            <w:r>
              <w:rPr>
                <w:color w:val="7E7E7E"/>
              </w:rPr>
              <w:t>The</w:t>
            </w:r>
            <w:r>
              <w:rPr>
                <w:color w:val="7E7E7E"/>
                <w:spacing w:val="-5"/>
              </w:rPr>
              <w:t xml:space="preserve"> </w:t>
            </w:r>
            <w:r>
              <w:rPr>
                <w:color w:val="7E7E7E"/>
                <w:spacing w:val="-4"/>
              </w:rPr>
              <w:t>Team</w:t>
            </w:r>
            <w:r>
              <w:rPr>
                <w:color w:val="7E7E7E"/>
              </w:rPr>
              <w:tab/>
            </w:r>
          </w:hyperlink>
          <w:r w:rsidR="00DB1C16">
            <w:t>6</w:t>
          </w:r>
        </w:p>
        <w:p w14:paraId="33CC6A6A" w14:textId="5D5D55B9" w:rsidR="005B4C58" w:rsidRDefault="00F86057">
          <w:pPr>
            <w:pStyle w:val="TOC1"/>
            <w:tabs>
              <w:tab w:val="right" w:leader="dot" w:pos="8399"/>
            </w:tabs>
          </w:pPr>
          <w:hyperlink w:anchor="_bookmark4" w:history="1">
            <w:r>
              <w:rPr>
                <w:color w:val="7E7E7E"/>
              </w:rPr>
              <w:t>The</w:t>
            </w:r>
            <w:r>
              <w:rPr>
                <w:color w:val="7E7E7E"/>
                <w:spacing w:val="-4"/>
              </w:rPr>
              <w:t xml:space="preserve"> </w:t>
            </w:r>
            <w:r>
              <w:rPr>
                <w:color w:val="7E7E7E"/>
                <w:spacing w:val="-2"/>
              </w:rPr>
              <w:t>Product</w:t>
            </w:r>
            <w:r>
              <w:rPr>
                <w:color w:val="7E7E7E"/>
              </w:rPr>
              <w:tab/>
            </w:r>
          </w:hyperlink>
          <w:r w:rsidR="00DB1C16">
            <w:t>9</w:t>
          </w:r>
        </w:p>
        <w:p w14:paraId="33CC6A6B" w14:textId="05A7A32D" w:rsidR="005B4C58" w:rsidRDefault="00F86057">
          <w:pPr>
            <w:pStyle w:val="TOC1"/>
            <w:tabs>
              <w:tab w:val="right" w:leader="dot" w:pos="8398"/>
            </w:tabs>
          </w:pPr>
          <w:hyperlink w:anchor="_bookmark5" w:history="1">
            <w:r>
              <w:rPr>
                <w:color w:val="7E7E7E"/>
              </w:rPr>
              <w:t>The</w:t>
            </w:r>
            <w:r>
              <w:rPr>
                <w:color w:val="7E7E7E"/>
                <w:spacing w:val="-2"/>
              </w:rPr>
              <w:t xml:space="preserve"> Market</w:t>
            </w:r>
            <w:r>
              <w:rPr>
                <w:color w:val="7E7E7E"/>
              </w:rPr>
              <w:tab/>
            </w:r>
          </w:hyperlink>
          <w:r w:rsidR="00DB1C16">
            <w:t>10</w:t>
          </w:r>
        </w:p>
        <w:p w14:paraId="33CC6A6D" w14:textId="5F84FD07" w:rsidR="005B4C58" w:rsidRDefault="00F86057">
          <w:pPr>
            <w:pStyle w:val="TOC1"/>
            <w:tabs>
              <w:tab w:val="right" w:leader="dot" w:pos="8398"/>
            </w:tabs>
            <w:spacing w:before="225"/>
          </w:pPr>
          <w:hyperlink w:anchor="_bookmark7" w:history="1">
            <w:r>
              <w:rPr>
                <w:color w:val="7E7E7E"/>
              </w:rPr>
              <w:t>Competitive</w:t>
            </w:r>
            <w:r>
              <w:rPr>
                <w:color w:val="7E7E7E"/>
                <w:spacing w:val="-5"/>
              </w:rPr>
              <w:t xml:space="preserve"> </w:t>
            </w:r>
            <w:r>
              <w:rPr>
                <w:color w:val="7E7E7E"/>
              </w:rPr>
              <w:t>Edge</w:t>
            </w:r>
            <w:r>
              <w:rPr>
                <w:color w:val="7E7E7E"/>
                <w:spacing w:val="-5"/>
              </w:rPr>
              <w:t xml:space="preserve"> </w:t>
            </w:r>
            <w:r>
              <w:rPr>
                <w:color w:val="7E7E7E"/>
              </w:rPr>
              <w:t>and</w:t>
            </w:r>
            <w:r>
              <w:rPr>
                <w:color w:val="7E7E7E"/>
                <w:spacing w:val="-6"/>
              </w:rPr>
              <w:t xml:space="preserve"> </w:t>
            </w:r>
            <w:r>
              <w:rPr>
                <w:color w:val="7E7E7E"/>
                <w:spacing w:val="-2"/>
              </w:rPr>
              <w:t>Differentiation</w:t>
            </w:r>
            <w:r>
              <w:rPr>
                <w:color w:val="7E7E7E"/>
              </w:rPr>
              <w:tab/>
            </w:r>
          </w:hyperlink>
          <w:r w:rsidR="00DB1C16">
            <w:t>10</w:t>
          </w:r>
        </w:p>
        <w:p w14:paraId="33CC6A6E" w14:textId="1F237C51" w:rsidR="005B4C58" w:rsidRDefault="00F86057">
          <w:pPr>
            <w:pStyle w:val="TOC1"/>
            <w:tabs>
              <w:tab w:val="right" w:leader="dot" w:pos="8398"/>
            </w:tabs>
          </w:pPr>
          <w:hyperlink w:anchor="_bookmark8" w:history="1">
            <w:r>
              <w:rPr>
                <w:color w:val="7E7E7E"/>
              </w:rPr>
              <w:t>Business</w:t>
            </w:r>
            <w:r>
              <w:rPr>
                <w:color w:val="7E7E7E"/>
                <w:spacing w:val="-8"/>
              </w:rPr>
              <w:t xml:space="preserve"> </w:t>
            </w:r>
            <w:r>
              <w:rPr>
                <w:color w:val="7E7E7E"/>
                <w:spacing w:val="-2"/>
              </w:rPr>
              <w:t>Model</w:t>
            </w:r>
            <w:r>
              <w:rPr>
                <w:color w:val="7E7E7E"/>
              </w:rPr>
              <w:tab/>
            </w:r>
          </w:hyperlink>
          <w:r w:rsidR="00DB1C16">
            <w:t>11</w:t>
          </w:r>
        </w:p>
        <w:p w14:paraId="33CC6A70" w14:textId="715BE221" w:rsidR="005B4C58" w:rsidRDefault="00F86057">
          <w:pPr>
            <w:pStyle w:val="TOC1"/>
            <w:tabs>
              <w:tab w:val="right" w:leader="dot" w:pos="8398"/>
            </w:tabs>
          </w:pPr>
          <w:hyperlink w:anchor="_bookmark10" w:history="1">
            <w:r>
              <w:rPr>
                <w:color w:val="7E7E7E"/>
              </w:rPr>
              <w:t>Marketing</w:t>
            </w:r>
            <w:r>
              <w:rPr>
                <w:color w:val="7E7E7E"/>
                <w:spacing w:val="-8"/>
              </w:rPr>
              <w:t xml:space="preserve"> </w:t>
            </w:r>
            <w:r>
              <w:rPr>
                <w:color w:val="7E7E7E"/>
                <w:spacing w:val="-4"/>
              </w:rPr>
              <w:t>Plan</w:t>
            </w:r>
            <w:r>
              <w:rPr>
                <w:color w:val="7E7E7E"/>
              </w:rPr>
              <w:tab/>
            </w:r>
          </w:hyperlink>
          <w:r w:rsidR="00DB1C16">
            <w:t>11</w:t>
          </w:r>
        </w:p>
        <w:p w14:paraId="33CC6A71" w14:textId="4E41000D" w:rsidR="005B4C58" w:rsidRDefault="00F86057">
          <w:pPr>
            <w:pStyle w:val="TOC1"/>
            <w:tabs>
              <w:tab w:val="right" w:leader="dot" w:pos="8398"/>
            </w:tabs>
            <w:spacing w:before="225"/>
          </w:pPr>
          <w:hyperlink w:anchor="_bookmark11" w:history="1">
            <w:r>
              <w:rPr>
                <w:color w:val="7E7E7E"/>
              </w:rPr>
              <w:t>Financial</w:t>
            </w:r>
            <w:r>
              <w:rPr>
                <w:color w:val="7E7E7E"/>
                <w:spacing w:val="-13"/>
              </w:rPr>
              <w:t xml:space="preserve"> </w:t>
            </w:r>
            <w:r>
              <w:rPr>
                <w:color w:val="7E7E7E"/>
                <w:spacing w:val="-4"/>
              </w:rPr>
              <w:t>Plan</w:t>
            </w:r>
            <w:r>
              <w:rPr>
                <w:color w:val="7E7E7E"/>
              </w:rPr>
              <w:tab/>
            </w:r>
          </w:hyperlink>
          <w:r w:rsidR="00DB1C16">
            <w:t>12</w:t>
          </w:r>
        </w:p>
      </w:sdtContent>
    </w:sdt>
    <w:p w14:paraId="33CC6A72" w14:textId="77777777" w:rsidR="005B4C58" w:rsidRDefault="005B4C58">
      <w:pPr>
        <w:pStyle w:val="TOC1"/>
        <w:sectPr w:rsidR="005B4C58">
          <w:footerReference w:type="default" r:id="rId13"/>
          <w:pgSz w:w="11910" w:h="16840"/>
          <w:pgMar w:top="1340" w:right="1700" w:bottom="1200" w:left="1700" w:header="0" w:footer="1008" w:gutter="0"/>
          <w:pgNumType w:start="1"/>
          <w:cols w:space="720"/>
        </w:sectPr>
      </w:pPr>
    </w:p>
    <w:p w14:paraId="33CC6A73" w14:textId="77777777" w:rsidR="005B4C58" w:rsidRDefault="00F86057">
      <w:pPr>
        <w:pStyle w:val="Heading1"/>
      </w:pPr>
      <w:bookmarkStart w:id="0" w:name="_bookmark0"/>
      <w:bookmarkEnd w:id="0"/>
      <w:r>
        <w:rPr>
          <w:color w:val="135B85"/>
        </w:rPr>
        <w:lastRenderedPageBreak/>
        <w:t>Executive</w:t>
      </w:r>
      <w:r>
        <w:rPr>
          <w:color w:val="135B85"/>
          <w:spacing w:val="-15"/>
        </w:rPr>
        <w:t xml:space="preserve"> </w:t>
      </w:r>
      <w:r>
        <w:rPr>
          <w:color w:val="135B85"/>
          <w:spacing w:val="-2"/>
        </w:rPr>
        <w:t>Summary</w:t>
      </w:r>
    </w:p>
    <w:p w14:paraId="33CC6A74" w14:textId="77777777" w:rsidR="005B4C58" w:rsidRDefault="00F86057">
      <w:pPr>
        <w:pStyle w:val="BodyText"/>
        <w:rPr>
          <w:b/>
          <w:sz w:val="16"/>
        </w:rPr>
      </w:pPr>
      <w:r>
        <w:rPr>
          <w:b/>
          <w:noProof/>
          <w:sz w:val="16"/>
        </w:rPr>
        <mc:AlternateContent>
          <mc:Choice Requires="wps">
            <w:drawing>
              <wp:anchor distT="0" distB="0" distL="0" distR="0" simplePos="0" relativeHeight="251651584" behindDoc="1" locked="0" layoutInCell="1" allowOverlap="1" wp14:anchorId="33CC6EF6" wp14:editId="33CC6EF7">
                <wp:simplePos x="0" y="0"/>
                <wp:positionH relativeFrom="page">
                  <wp:posOffset>1125016</wp:posOffset>
                </wp:positionH>
                <wp:positionV relativeFrom="paragraph">
                  <wp:posOffset>132226</wp:posOffset>
                </wp:positionV>
                <wp:extent cx="5312410"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12700"/>
                        </a:xfrm>
                        <a:custGeom>
                          <a:avLst/>
                          <a:gdLst/>
                          <a:ahLst/>
                          <a:cxnLst/>
                          <a:rect l="l" t="t" r="r" b="b"/>
                          <a:pathLst>
                            <a:path w="5312410" h="12700">
                              <a:moveTo>
                                <a:pt x="5312029" y="0"/>
                              </a:moveTo>
                              <a:lnTo>
                                <a:pt x="0" y="0"/>
                              </a:lnTo>
                              <a:lnTo>
                                <a:pt x="0" y="12192"/>
                              </a:lnTo>
                              <a:lnTo>
                                <a:pt x="5312029" y="12192"/>
                              </a:lnTo>
                              <a:lnTo>
                                <a:pt x="5312029"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0626C822" id="Graphic 4" o:spid="_x0000_s1026" style="position:absolute;margin-left:88.6pt;margin-top:10.4pt;width:418.3pt;height:1pt;z-index:-251664896;visibility:visible;mso-wrap-style:square;mso-wrap-distance-left:0;mso-wrap-distance-top:0;mso-wrap-distance-right:0;mso-wrap-distance-bottom:0;mso-position-horizontal:absolute;mso-position-horizontal-relative:page;mso-position-vertical:absolute;mso-position-vertical-relative:text;v-text-anchor:top" coordsize="53124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" path="m5312029,l,,,12192r5312029,l5312029,xe" fillcolor="#585858" stroked="f">
                <v:path arrowok="t"/>
                <w10:wrap type="topAndBottom" anchorx="page"/>
              </v:shape>
            </w:pict>
          </mc:Fallback>
        </mc:AlternateContent>
      </w:r>
    </w:p>
    <w:p w14:paraId="33CC6A75" w14:textId="77777777" w:rsidR="005B4C58" w:rsidRDefault="005B4C58">
      <w:pPr>
        <w:pStyle w:val="BodyText"/>
        <w:spacing w:before="2"/>
        <w:rPr>
          <w:b/>
          <w:sz w:val="24"/>
        </w:rPr>
      </w:pPr>
    </w:p>
    <w:p w14:paraId="651F9BC4" w14:textId="77777777" w:rsidR="00F57373" w:rsidRDefault="00F57373" w:rsidP="00F57373">
      <w:pPr>
        <w:pStyle w:val="Heading2"/>
        <w:rPr>
          <w:bCs w:val="0"/>
          <w:color w:val="E68800"/>
          <w:szCs w:val="22"/>
        </w:rPr>
      </w:pPr>
    </w:p>
    <w:p w14:paraId="787CD9C1" w14:textId="77777777" w:rsidR="00F57373" w:rsidRDefault="00F86057" w:rsidP="00F57373">
      <w:pPr>
        <w:pStyle w:val="Heading2"/>
        <w:rPr>
          <w:bCs w:val="0"/>
          <w:color w:val="E68800"/>
          <w:szCs w:val="22"/>
        </w:rPr>
      </w:pPr>
      <w:r w:rsidRPr="00F57373">
        <w:rPr>
          <w:bCs w:val="0"/>
          <w:color w:val="E68800"/>
          <w:szCs w:val="22"/>
        </w:rPr>
        <w:t>About Us</w:t>
      </w:r>
    </w:p>
    <w:p w14:paraId="33CC6A78" w14:textId="69EA8B9B" w:rsidR="005B4C58" w:rsidRPr="00F57373" w:rsidRDefault="008928A7" w:rsidP="00F57373">
      <w:pPr>
        <w:pStyle w:val="BodyText"/>
        <w:spacing w:before="200" w:line="360" w:lineRule="auto"/>
        <w:ind w:left="100" w:right="99"/>
        <w:jc w:val="both"/>
        <w:rPr>
          <w:color w:val="7E7E7E"/>
        </w:rPr>
      </w:pPr>
      <w:r>
        <w:rPr>
          <w:color w:val="7E7E7E"/>
        </w:rPr>
        <w:t xml:space="preserve">Cook Group Analytics (“CGA”) </w:t>
      </w:r>
      <w:r w:rsidR="00607291">
        <w:rPr>
          <w:color w:val="7E7E7E"/>
        </w:rPr>
        <w:t xml:space="preserve">is </w:t>
      </w:r>
      <w:r w:rsidR="00F10C1D">
        <w:rPr>
          <w:color w:val="7E7E7E"/>
        </w:rPr>
        <w:t xml:space="preserve">a continuing step along The Cook Group Law Firm’s (“TCG’s”) </w:t>
      </w:r>
      <w:r w:rsidR="00536B6F">
        <w:rPr>
          <w:color w:val="7E7E7E"/>
        </w:rPr>
        <w:t xml:space="preserve">quest to reshape how mass tort claims are litigated and managed. </w:t>
      </w:r>
      <w:r w:rsidR="009E5D73">
        <w:rPr>
          <w:color w:val="7E7E7E"/>
        </w:rPr>
        <w:t xml:space="preserve">The purpose of the company is first and foremost to bring our </w:t>
      </w:r>
      <w:r w:rsidR="00BF03E7">
        <w:rPr>
          <w:color w:val="7E7E7E"/>
        </w:rPr>
        <w:t>purpose-built internal software</w:t>
      </w:r>
      <w:r w:rsidR="006E0751">
        <w:rPr>
          <w:color w:val="7E7E7E"/>
        </w:rPr>
        <w:t>, The Cook Book (“TCB”)</w:t>
      </w:r>
      <w:r w:rsidR="00E6167C">
        <w:rPr>
          <w:color w:val="7E7E7E"/>
        </w:rPr>
        <w:t>,</w:t>
      </w:r>
      <w:r w:rsidR="006E0751">
        <w:rPr>
          <w:color w:val="7E7E7E"/>
        </w:rPr>
        <w:t xml:space="preserve"> </w:t>
      </w:r>
      <w:r w:rsidR="00BF03E7">
        <w:rPr>
          <w:color w:val="7E7E7E"/>
        </w:rPr>
        <w:t xml:space="preserve">to market for use by the entire defense bar. </w:t>
      </w:r>
      <w:r w:rsidR="00F378A8">
        <w:rPr>
          <w:color w:val="7E7E7E"/>
        </w:rPr>
        <w:t>During</w:t>
      </w:r>
      <w:r w:rsidR="00D123FB">
        <w:rPr>
          <w:color w:val="7E7E7E"/>
        </w:rPr>
        <w:t xml:space="preserve"> </w:t>
      </w:r>
      <w:r w:rsidR="006E2060">
        <w:rPr>
          <w:color w:val="7E7E7E"/>
        </w:rPr>
        <w:t xml:space="preserve">the last </w:t>
      </w:r>
      <w:r w:rsidR="00E26442">
        <w:rPr>
          <w:color w:val="7E7E7E"/>
        </w:rPr>
        <w:t xml:space="preserve">six </w:t>
      </w:r>
      <w:r w:rsidR="00D123FB">
        <w:rPr>
          <w:color w:val="7E7E7E"/>
        </w:rPr>
        <w:t>years</w:t>
      </w:r>
      <w:r w:rsidR="006E2060">
        <w:rPr>
          <w:color w:val="7E7E7E"/>
        </w:rPr>
        <w:t>, with</w:t>
      </w:r>
      <w:r w:rsidR="00D123FB">
        <w:rPr>
          <w:color w:val="7E7E7E"/>
        </w:rPr>
        <w:t xml:space="preserve"> over </w:t>
      </w:r>
      <w:r w:rsidR="00F378A8">
        <w:rPr>
          <w:color w:val="7E7E7E"/>
        </w:rPr>
        <w:t>one</w:t>
      </w:r>
      <w:r w:rsidR="006E2060">
        <w:rPr>
          <w:color w:val="7E7E7E"/>
        </w:rPr>
        <w:t xml:space="preserve"> </w:t>
      </w:r>
      <w:r w:rsidR="00D123FB">
        <w:rPr>
          <w:color w:val="7E7E7E"/>
        </w:rPr>
        <w:t xml:space="preserve">million </w:t>
      </w:r>
      <w:r w:rsidR="00F378A8">
        <w:rPr>
          <w:color w:val="7E7E7E"/>
        </w:rPr>
        <w:t xml:space="preserve">separate </w:t>
      </w:r>
      <w:r w:rsidR="00D123FB">
        <w:rPr>
          <w:color w:val="7E7E7E"/>
        </w:rPr>
        <w:t xml:space="preserve">billable time entries sent to clients, </w:t>
      </w:r>
      <w:r w:rsidR="006E2060">
        <w:rPr>
          <w:color w:val="7E7E7E"/>
        </w:rPr>
        <w:t xml:space="preserve">TCG has </w:t>
      </w:r>
      <w:r w:rsidR="00BB3FC9">
        <w:rPr>
          <w:color w:val="7E7E7E"/>
        </w:rPr>
        <w:t xml:space="preserve">both developed and found the best, most efficient uses for TCB. </w:t>
      </w:r>
      <w:r w:rsidR="000F4BFD">
        <w:rPr>
          <w:color w:val="7E7E7E"/>
        </w:rPr>
        <w:t xml:space="preserve">Not only has this software allowed attorneys and staff at TCG to work far more efficiently, spending more of their time and mental energy </w:t>
      </w:r>
      <w:r w:rsidR="0079284E">
        <w:rPr>
          <w:color w:val="7E7E7E"/>
        </w:rPr>
        <w:t>directly</w:t>
      </w:r>
      <w:r w:rsidR="000F4BFD">
        <w:rPr>
          <w:color w:val="7E7E7E"/>
        </w:rPr>
        <w:t xml:space="preserve"> solving legal problems for </w:t>
      </w:r>
      <w:r w:rsidR="0079284E">
        <w:rPr>
          <w:color w:val="7E7E7E"/>
        </w:rPr>
        <w:t xml:space="preserve">clients, but the law firm has seen tremendous, immediate cost savings – particularly in </w:t>
      </w:r>
      <w:r w:rsidR="00772B7F">
        <w:rPr>
          <w:color w:val="7E7E7E"/>
        </w:rPr>
        <w:t xml:space="preserve">the finance and administrative departments. </w:t>
      </w:r>
      <w:r w:rsidR="004634DB">
        <w:rPr>
          <w:color w:val="7E7E7E"/>
        </w:rPr>
        <w:t>Our clients and their insur</w:t>
      </w:r>
      <w:r w:rsidR="00226B68">
        <w:rPr>
          <w:color w:val="7E7E7E"/>
        </w:rPr>
        <w:t>ance</w:t>
      </w:r>
      <w:r w:rsidR="004634DB">
        <w:rPr>
          <w:color w:val="7E7E7E"/>
        </w:rPr>
        <w:t xml:space="preserve"> partners have also found TCB to be a game-changing </w:t>
      </w:r>
      <w:r w:rsidR="009A52BF">
        <w:rPr>
          <w:color w:val="7E7E7E"/>
        </w:rPr>
        <w:t>step up in both efficiency and accuracy of reporting</w:t>
      </w:r>
      <w:r w:rsidR="000A3E63">
        <w:rPr>
          <w:color w:val="7E7E7E"/>
        </w:rPr>
        <w:t xml:space="preserve"> and case management. The Cook Book</w:t>
      </w:r>
      <w:r w:rsidR="00B06621">
        <w:rPr>
          <w:color w:val="7E7E7E"/>
        </w:rPr>
        <w:t xml:space="preserve"> provides tangible gains from </w:t>
      </w:r>
      <w:r w:rsidR="000C147E">
        <w:rPr>
          <w:color w:val="7E7E7E"/>
        </w:rPr>
        <w:t xml:space="preserve">improved </w:t>
      </w:r>
      <w:r w:rsidR="00B06621">
        <w:rPr>
          <w:color w:val="7E7E7E"/>
        </w:rPr>
        <w:t>efficiency for all parties involved in the mass tort space – except</w:t>
      </w:r>
      <w:r w:rsidR="00E6790A">
        <w:rPr>
          <w:color w:val="7E7E7E"/>
        </w:rPr>
        <w:t>,</w:t>
      </w:r>
      <w:r w:rsidR="00B06621">
        <w:rPr>
          <w:color w:val="7E7E7E"/>
        </w:rPr>
        <w:t xml:space="preserve"> of course</w:t>
      </w:r>
      <w:r w:rsidR="00E6790A">
        <w:rPr>
          <w:color w:val="7E7E7E"/>
        </w:rPr>
        <w:t>,</w:t>
      </w:r>
      <w:r w:rsidR="00B06621">
        <w:rPr>
          <w:color w:val="7E7E7E"/>
        </w:rPr>
        <w:t xml:space="preserve"> plaintiffs and their attorneys. </w:t>
      </w:r>
    </w:p>
    <w:p w14:paraId="08D4AD72" w14:textId="2C55C87A" w:rsidR="00F57373" w:rsidRPr="00F57373" w:rsidRDefault="00F86057" w:rsidP="00F57373">
      <w:pPr>
        <w:spacing w:before="202"/>
        <w:ind w:left="100"/>
        <w:rPr>
          <w:b/>
          <w:color w:val="E68800"/>
          <w:spacing w:val="-2"/>
          <w:sz w:val="24"/>
        </w:rPr>
      </w:pPr>
      <w:r>
        <w:rPr>
          <w:b/>
          <w:color w:val="E68800"/>
          <w:sz w:val="24"/>
        </w:rPr>
        <w:t xml:space="preserve">Our </w:t>
      </w:r>
      <w:r>
        <w:rPr>
          <w:b/>
          <w:color w:val="E68800"/>
          <w:spacing w:val="-2"/>
          <w:sz w:val="24"/>
        </w:rPr>
        <w:t>Product</w:t>
      </w:r>
    </w:p>
    <w:p w14:paraId="33CC6A7E" w14:textId="4136C328" w:rsidR="005B4C58" w:rsidRDefault="00DE60C3">
      <w:pPr>
        <w:pStyle w:val="BodyText"/>
        <w:spacing w:before="200" w:line="360" w:lineRule="auto"/>
        <w:ind w:left="100" w:right="99"/>
        <w:jc w:val="both"/>
        <w:rPr>
          <w:color w:val="7E7E7E"/>
        </w:rPr>
      </w:pPr>
      <w:r>
        <w:rPr>
          <w:color w:val="7E7E7E"/>
        </w:rPr>
        <w:t xml:space="preserve">The Cook Book </w:t>
      </w:r>
      <w:r w:rsidR="004801F6">
        <w:rPr>
          <w:color w:val="7E7E7E"/>
        </w:rPr>
        <w:t xml:space="preserve">was developed as a </w:t>
      </w:r>
      <w:r w:rsidR="00203277">
        <w:rPr>
          <w:color w:val="7E7E7E"/>
        </w:rPr>
        <w:t xml:space="preserve">solution </w:t>
      </w:r>
      <w:r w:rsidR="00C7447C">
        <w:rPr>
          <w:color w:val="7E7E7E"/>
        </w:rPr>
        <w:t xml:space="preserve">for </w:t>
      </w:r>
      <w:r w:rsidR="00E6790A">
        <w:rPr>
          <w:color w:val="7E7E7E"/>
        </w:rPr>
        <w:t xml:space="preserve">mass tort defense law firms needing to utilize </w:t>
      </w:r>
      <w:r w:rsidR="00CF5252">
        <w:rPr>
          <w:color w:val="7E7E7E"/>
        </w:rPr>
        <w:t>multiple different off-the-shelf software platforms</w:t>
      </w:r>
      <w:r w:rsidR="00E6790A">
        <w:rPr>
          <w:color w:val="7E7E7E"/>
        </w:rPr>
        <w:t xml:space="preserve"> in their operations</w:t>
      </w:r>
      <w:r w:rsidR="007651FE">
        <w:rPr>
          <w:color w:val="7E7E7E"/>
        </w:rPr>
        <w:t>. Programs like Juris or Timeslips</w:t>
      </w:r>
      <w:r w:rsidR="006254D4">
        <w:rPr>
          <w:color w:val="7E7E7E"/>
        </w:rPr>
        <w:t xml:space="preserve"> allowed </w:t>
      </w:r>
      <w:r w:rsidR="007859C0">
        <w:rPr>
          <w:color w:val="7E7E7E"/>
        </w:rPr>
        <w:t>attorneys to enter their billable time and send in PDF format to clients and insurers. World</w:t>
      </w:r>
      <w:r w:rsidR="00E6790A">
        <w:rPr>
          <w:color w:val="7E7E7E"/>
        </w:rPr>
        <w:t xml:space="preserve">ox </w:t>
      </w:r>
      <w:r w:rsidR="007859C0">
        <w:rPr>
          <w:color w:val="7E7E7E"/>
        </w:rPr>
        <w:t xml:space="preserve"> was used for internal document management, and </w:t>
      </w:r>
      <w:r w:rsidR="00E639F5">
        <w:rPr>
          <w:color w:val="7E7E7E"/>
        </w:rPr>
        <w:t xml:space="preserve">external software like Claro or KCIC dashboards were used to share case management data </w:t>
      </w:r>
      <w:r w:rsidR="00C91426">
        <w:rPr>
          <w:color w:val="7E7E7E"/>
        </w:rPr>
        <w:t xml:space="preserve">internally and with clients. </w:t>
      </w:r>
      <w:r w:rsidR="00347E0A">
        <w:rPr>
          <w:color w:val="7E7E7E"/>
        </w:rPr>
        <w:t xml:space="preserve">When </w:t>
      </w:r>
      <w:r w:rsidR="00C7447C">
        <w:rPr>
          <w:color w:val="7E7E7E"/>
        </w:rPr>
        <w:t xml:space="preserve">interviewing potential CTOs while </w:t>
      </w:r>
      <w:r w:rsidR="00347E0A">
        <w:rPr>
          <w:color w:val="7E7E7E"/>
        </w:rPr>
        <w:t xml:space="preserve">forming The Cook Group in 2020, Kerryann </w:t>
      </w:r>
      <w:r w:rsidR="00C7447C">
        <w:rPr>
          <w:color w:val="7E7E7E"/>
        </w:rPr>
        <w:t>Cook</w:t>
      </w:r>
      <w:r w:rsidR="00E6790A">
        <w:rPr>
          <w:color w:val="7E7E7E"/>
        </w:rPr>
        <w:t>grew wary</w:t>
      </w:r>
      <w:r w:rsidR="00347E0A">
        <w:rPr>
          <w:color w:val="7E7E7E"/>
        </w:rPr>
        <w:t xml:space="preserve"> </w:t>
      </w:r>
      <w:r w:rsidR="00C7447C">
        <w:rPr>
          <w:color w:val="7E7E7E"/>
        </w:rPr>
        <w:t>of candidates repeatedly recommending the same licenses for the same mediocre products as the</w:t>
      </w:r>
      <w:r w:rsidR="00347E0A">
        <w:rPr>
          <w:color w:val="7E7E7E"/>
        </w:rPr>
        <w:t xml:space="preserve"> solution to </w:t>
      </w:r>
      <w:r w:rsidR="006B0401">
        <w:rPr>
          <w:color w:val="7E7E7E"/>
        </w:rPr>
        <w:t xml:space="preserve">the complex demands of mass tort litigation </w:t>
      </w:r>
      <w:r w:rsidR="00F57373">
        <w:rPr>
          <w:color w:val="7E7E7E"/>
        </w:rPr>
        <w:t>All</w:t>
      </w:r>
      <w:r w:rsidR="006B0401">
        <w:rPr>
          <w:color w:val="7E7E7E"/>
        </w:rPr>
        <w:t xml:space="preserve"> the products shared the same inability to handle insurance splits, a core need in every aspect of mass torts. And each product</w:t>
      </w:r>
      <w:r w:rsidR="006B6626">
        <w:rPr>
          <w:color w:val="7E7E7E"/>
        </w:rPr>
        <w:t xml:space="preserve"> was built on a separate database, so the only method of transferring data between the systems was through manual import of PDF or Excel files. The Cook Book was built by The Cook Group Law Firm to wholistically address the technological needs of a high-level mass torts firm. No other available system begins to address the complex challenges </w:t>
      </w:r>
      <w:r w:rsidR="00F57373">
        <w:rPr>
          <w:color w:val="7E7E7E"/>
        </w:rPr>
        <w:t xml:space="preserve">involved </w:t>
      </w:r>
      <w:r w:rsidR="006B6626">
        <w:rPr>
          <w:color w:val="7E7E7E"/>
        </w:rPr>
        <w:t xml:space="preserve">in defending mass tort claims.  </w:t>
      </w:r>
      <w:r w:rsidR="006B0401">
        <w:rPr>
          <w:color w:val="7E7E7E"/>
        </w:rPr>
        <w:t xml:space="preserve"> </w:t>
      </w:r>
    </w:p>
    <w:p w14:paraId="1BD1E142" w14:textId="77777777" w:rsidR="00F57373" w:rsidRDefault="00F57373">
      <w:pPr>
        <w:pStyle w:val="BodyText"/>
        <w:spacing w:before="200" w:line="360" w:lineRule="auto"/>
        <w:ind w:left="100" w:right="99"/>
        <w:jc w:val="both"/>
        <w:rPr>
          <w:color w:val="7E7E7E"/>
        </w:rPr>
      </w:pPr>
    </w:p>
    <w:p w14:paraId="770B3327" w14:textId="77777777" w:rsidR="00F57373" w:rsidRDefault="00F57373">
      <w:pPr>
        <w:pStyle w:val="BodyText"/>
        <w:spacing w:before="200" w:line="360" w:lineRule="auto"/>
        <w:ind w:left="100" w:right="99"/>
        <w:jc w:val="both"/>
      </w:pPr>
    </w:p>
    <w:p w14:paraId="33CC6A7F" w14:textId="77777777" w:rsidR="005B4C58" w:rsidRDefault="00F86057">
      <w:pPr>
        <w:spacing w:before="199"/>
        <w:ind w:left="100"/>
        <w:rPr>
          <w:b/>
          <w:sz w:val="24"/>
        </w:rPr>
      </w:pPr>
      <w:r>
        <w:rPr>
          <w:b/>
          <w:color w:val="E68800"/>
          <w:sz w:val="24"/>
        </w:rPr>
        <w:lastRenderedPageBreak/>
        <w:t xml:space="preserve">The </w:t>
      </w:r>
      <w:r>
        <w:rPr>
          <w:b/>
          <w:color w:val="E68800"/>
          <w:spacing w:val="-2"/>
          <w:sz w:val="24"/>
        </w:rPr>
        <w:t>Market</w:t>
      </w:r>
    </w:p>
    <w:p w14:paraId="33CC6A86" w14:textId="77777777" w:rsidR="005B4C58" w:rsidRDefault="005B4C58">
      <w:pPr>
        <w:pStyle w:val="BodyText"/>
        <w:spacing w:before="5"/>
      </w:pPr>
    </w:p>
    <w:p w14:paraId="58BD24F8" w14:textId="5B02A14A" w:rsidR="00313BB2" w:rsidRDefault="00313BB2" w:rsidP="00313BB2">
      <w:pPr>
        <w:pStyle w:val="BodyText"/>
        <w:spacing w:before="200" w:line="360" w:lineRule="auto"/>
        <w:ind w:left="100" w:right="99"/>
        <w:jc w:val="both"/>
        <w:rPr>
          <w:color w:val="7E7E7E"/>
        </w:rPr>
      </w:pPr>
      <w:r w:rsidRPr="00313BB2">
        <w:rPr>
          <w:color w:val="7E7E7E"/>
        </w:rPr>
        <w:t>This business plan</w:t>
      </w:r>
      <w:r>
        <w:rPr>
          <w:color w:val="7E7E7E"/>
        </w:rPr>
        <w:t xml:space="preserve"> focuses on the asbestos litigation market only. Further development into the broader mass tort space is planned, </w:t>
      </w:r>
      <w:r w:rsidR="00825CB2">
        <w:rPr>
          <w:color w:val="7E7E7E"/>
        </w:rPr>
        <w:t>but both market conditions and CGA’s position in the market dictate a singular focus on asbestos during the first phase of growth.</w:t>
      </w:r>
    </w:p>
    <w:p w14:paraId="26723576" w14:textId="6CE99D4F" w:rsidR="007B3A9E" w:rsidRDefault="00825CB2" w:rsidP="00313BB2">
      <w:pPr>
        <w:pStyle w:val="BodyText"/>
        <w:spacing w:before="200" w:line="360" w:lineRule="auto"/>
        <w:ind w:left="100" w:right="99"/>
        <w:jc w:val="both"/>
        <w:rPr>
          <w:color w:val="7E7E7E"/>
        </w:rPr>
      </w:pPr>
      <w:r>
        <w:rPr>
          <w:color w:val="7E7E7E"/>
        </w:rPr>
        <w:t>The asbestos litigation is the longest running mass tort in history. For over 50 years, case law and agile market participants have turned</w:t>
      </w:r>
      <w:r w:rsidR="00F57373">
        <w:rPr>
          <w:color w:val="7E7E7E"/>
        </w:rPr>
        <w:t xml:space="preserve"> organic</w:t>
      </w:r>
      <w:r>
        <w:rPr>
          <w:color w:val="7E7E7E"/>
        </w:rPr>
        <w:t xml:space="preserve"> legal </w:t>
      </w:r>
      <w:r w:rsidR="007B3A9E">
        <w:rPr>
          <w:color w:val="7E7E7E"/>
        </w:rPr>
        <w:t>matters</w:t>
      </w:r>
      <w:r>
        <w:rPr>
          <w:color w:val="7E7E7E"/>
        </w:rPr>
        <w:t xml:space="preserve"> into a self-contained business market. This litigation is now a monetary transfer scheme from defendants and their insurers to plaintiffs’ counsel. The insurers invest their asbestos reserves and make a profit. The plaintiff firms get rich. Over the years</w:t>
      </w:r>
      <w:r w:rsidR="00F57373">
        <w:rPr>
          <w:color w:val="7E7E7E"/>
        </w:rPr>
        <w:t>,</w:t>
      </w:r>
      <w:r>
        <w:rPr>
          <w:color w:val="7E7E7E"/>
        </w:rPr>
        <w:t xml:space="preserve"> a balance between the two sides has developed. For the past </w:t>
      </w:r>
      <w:r w:rsidR="00C7447C">
        <w:rPr>
          <w:color w:val="7E7E7E"/>
        </w:rPr>
        <w:t xml:space="preserve">20 </w:t>
      </w:r>
      <w:r>
        <w:rPr>
          <w:color w:val="7E7E7E"/>
        </w:rPr>
        <w:t xml:space="preserve">years, spending on asbestos litigation has been essentially frozen. Market reports consistently note that $1B is spent annually on payments to plaintiffs, and $1B is spent annually on defense counsel to defend those claims. </w:t>
      </w:r>
      <w:r w:rsidR="006B6626">
        <w:rPr>
          <w:color w:val="7E7E7E"/>
        </w:rPr>
        <w:t>These payments have remained consistent despite the obvious drop-off in actual asbestos exposures since it was largely banned in 1989 – demonstrating a decoupling from the underlying legal proceedings.</w:t>
      </w:r>
      <w:r w:rsidR="007B3A9E">
        <w:rPr>
          <w:color w:val="7E7E7E"/>
        </w:rPr>
        <w:t xml:space="preserve"> </w:t>
      </w:r>
    </w:p>
    <w:p w14:paraId="42216102" w14:textId="55434CDE" w:rsidR="00825CB2" w:rsidRPr="00313BB2" w:rsidRDefault="007B3A9E" w:rsidP="00313BB2">
      <w:pPr>
        <w:pStyle w:val="BodyText"/>
        <w:spacing w:before="200" w:line="360" w:lineRule="auto"/>
        <w:ind w:left="100" w:right="99"/>
        <w:jc w:val="both"/>
        <w:rPr>
          <w:color w:val="7E7E7E"/>
        </w:rPr>
      </w:pPr>
      <w:r>
        <w:rPr>
          <w:color w:val="7E7E7E"/>
        </w:rPr>
        <w:t xml:space="preserve">This tacit agreement between litigants has fossilized the defense market for asbestos litigation. The same law firms continue to defend asbestos claims, even as the roster of defendants constantly changes. Not only is the monetary value of the market consistent and predictable, but the potential </w:t>
      </w:r>
      <w:r w:rsidR="00C60FEF">
        <w:rPr>
          <w:color w:val="7E7E7E"/>
        </w:rPr>
        <w:t xml:space="preserve">law firm </w:t>
      </w:r>
      <w:r>
        <w:rPr>
          <w:color w:val="7E7E7E"/>
        </w:rPr>
        <w:t xml:space="preserve">users of TCB will remain essentially unchanged over time. </w:t>
      </w:r>
      <w:r w:rsidR="00E85F2E">
        <w:rPr>
          <w:color w:val="7E7E7E"/>
        </w:rPr>
        <w:t xml:space="preserve">This unique market structure in the asbestos litigation means there is a detailed roadmap for increasing the number of users. Furthermore, as CGA scales, incremental costs will continue to drop. A higher and higher percentage of law firms in the litigation will be using TCB. Adding additional client/defendants then becomes a matter of changing permissions within an already-running platform, rather than full deployment of a new system for each new client acquisition.  </w:t>
      </w:r>
      <w:r>
        <w:rPr>
          <w:color w:val="7E7E7E"/>
        </w:rPr>
        <w:t xml:space="preserve"> </w:t>
      </w:r>
      <w:r w:rsidR="006B6626">
        <w:rPr>
          <w:color w:val="7E7E7E"/>
        </w:rPr>
        <w:t xml:space="preserve"> </w:t>
      </w:r>
    </w:p>
    <w:p w14:paraId="33CC6A88" w14:textId="77777777" w:rsidR="005B4C58" w:rsidRDefault="00F86057">
      <w:pPr>
        <w:spacing w:before="202"/>
        <w:ind w:left="100"/>
        <w:jc w:val="both"/>
        <w:rPr>
          <w:b/>
          <w:sz w:val="24"/>
        </w:rPr>
      </w:pPr>
      <w:r>
        <w:rPr>
          <w:b/>
          <w:color w:val="E68800"/>
          <w:sz w:val="24"/>
        </w:rPr>
        <w:t>Business</w:t>
      </w:r>
      <w:r>
        <w:rPr>
          <w:b/>
          <w:color w:val="E68800"/>
          <w:spacing w:val="-3"/>
          <w:sz w:val="24"/>
        </w:rPr>
        <w:t xml:space="preserve"> </w:t>
      </w:r>
      <w:r>
        <w:rPr>
          <w:b/>
          <w:color w:val="E68800"/>
          <w:spacing w:val="-2"/>
          <w:sz w:val="24"/>
        </w:rPr>
        <w:t>Opportunity</w:t>
      </w:r>
    </w:p>
    <w:p w14:paraId="33CC6A97" w14:textId="77777777" w:rsidR="005B4C58" w:rsidRDefault="005B4C58">
      <w:pPr>
        <w:pStyle w:val="BodyText"/>
        <w:rPr>
          <w:sz w:val="20"/>
        </w:rPr>
      </w:pPr>
    </w:p>
    <w:p w14:paraId="118C8C51" w14:textId="77777777" w:rsidR="002400D6" w:rsidRDefault="00E85F2E" w:rsidP="00E85F2E">
      <w:pPr>
        <w:pStyle w:val="BodyText"/>
        <w:spacing w:before="200" w:line="360" w:lineRule="auto"/>
        <w:ind w:left="100" w:right="99"/>
        <w:jc w:val="both"/>
        <w:rPr>
          <w:color w:val="7E7E7E"/>
        </w:rPr>
      </w:pPr>
      <w:r w:rsidRPr="00E85F2E">
        <w:rPr>
          <w:color w:val="7E7E7E"/>
        </w:rPr>
        <w:t xml:space="preserve">The software used to manage and defend mass tort claims has evolved from other, pre-existing software used in other types of litigation. </w:t>
      </w:r>
      <w:r>
        <w:rPr>
          <w:color w:val="7E7E7E"/>
        </w:rPr>
        <w:t xml:space="preserve">As detailed above, mass tort claims, and especially asbestos claims, are wholly unique from other types of legal matters. In many ways, running a mass tort defense law firm is more similar to running a bankruptcy claims trust than to an intellectual property or tax law firm. Technology solutions developed for more traditional legal claims are wholly </w:t>
      </w:r>
      <w:r w:rsidR="002400D6">
        <w:rPr>
          <w:color w:val="7E7E7E"/>
        </w:rPr>
        <w:t>inadequate</w:t>
      </w:r>
      <w:r>
        <w:rPr>
          <w:color w:val="7E7E7E"/>
        </w:rPr>
        <w:t>.</w:t>
      </w:r>
    </w:p>
    <w:p w14:paraId="33FD6885" w14:textId="5944E05A" w:rsidR="00434EFF" w:rsidRDefault="002400D6" w:rsidP="00E85F2E">
      <w:pPr>
        <w:pStyle w:val="BodyText"/>
        <w:spacing w:before="200" w:line="360" w:lineRule="auto"/>
        <w:ind w:left="100" w:right="99"/>
        <w:jc w:val="both"/>
        <w:rPr>
          <w:color w:val="7E7E7E"/>
        </w:rPr>
      </w:pPr>
      <w:r>
        <w:rPr>
          <w:color w:val="7E7E7E"/>
        </w:rPr>
        <w:t xml:space="preserve">The fundamental difference between mass tort legal claims and traditional litigation is the number of parties to each lawsuit. While most legal cases involve a single plaintiff vs. a single </w:t>
      </w:r>
      <w:r>
        <w:rPr>
          <w:color w:val="7E7E7E"/>
        </w:rPr>
        <w:lastRenderedPageBreak/>
        <w:t xml:space="preserve">defendant, mass tort claims involve a single or multiple plaintiffs vs. a massive number of defendants (hence the name “mass tort”). </w:t>
      </w:r>
      <w:r w:rsidR="00E85F2E">
        <w:rPr>
          <w:color w:val="7E7E7E"/>
        </w:rPr>
        <w:t xml:space="preserve"> </w:t>
      </w:r>
    </w:p>
    <w:p w14:paraId="30B87991" w14:textId="77777777" w:rsidR="00C60FEF" w:rsidRPr="00E85F2E" w:rsidRDefault="00C60FEF" w:rsidP="00E85F2E">
      <w:pPr>
        <w:pStyle w:val="BodyText"/>
        <w:spacing w:before="200" w:line="360" w:lineRule="auto"/>
        <w:ind w:left="100" w:right="99"/>
        <w:jc w:val="both"/>
        <w:rPr>
          <w:color w:val="7E7E7E"/>
        </w:rPr>
      </w:pPr>
    </w:p>
    <w:p w14:paraId="33CC6A99" w14:textId="18F43CD3" w:rsidR="005B4C58" w:rsidRDefault="002400D6">
      <w:pPr>
        <w:pStyle w:val="BodyText"/>
        <w:spacing w:before="64"/>
        <w:rPr>
          <w:sz w:val="20"/>
        </w:rPr>
      </w:pPr>
      <w:r w:rsidRPr="002400D6">
        <w:rPr>
          <w:noProof/>
          <w:sz w:val="20"/>
        </w:rPr>
        <w:drawing>
          <wp:inline distT="0" distB="0" distL="0" distR="0" wp14:anchorId="579F859B" wp14:editId="19A4D6C9">
            <wp:extent cx="2597100" cy="3107587"/>
            <wp:effectExtent l="0" t="0" r="0" b="0"/>
            <wp:docPr id="53256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66288" name=""/>
                    <pic:cNvPicPr/>
                  </pic:nvPicPr>
                  <pic:blipFill>
                    <a:blip r:embed="rId14"/>
                    <a:stretch>
                      <a:fillRect/>
                    </a:stretch>
                  </pic:blipFill>
                  <pic:spPr>
                    <a:xfrm>
                      <a:off x="0" y="0"/>
                      <a:ext cx="2610374" cy="3123470"/>
                    </a:xfrm>
                    <a:prstGeom prst="rect">
                      <a:avLst/>
                    </a:prstGeom>
                  </pic:spPr>
                </pic:pic>
              </a:graphicData>
            </a:graphic>
          </wp:inline>
        </w:drawing>
      </w:r>
      <w:r w:rsidRPr="002400D6">
        <w:rPr>
          <w:noProof/>
          <w:sz w:val="20"/>
        </w:rPr>
        <w:drawing>
          <wp:inline distT="0" distB="0" distL="0" distR="0" wp14:anchorId="6CCE17FB" wp14:editId="4478BF73">
            <wp:extent cx="2912860" cy="3340174"/>
            <wp:effectExtent l="0" t="0" r="1905" b="0"/>
            <wp:docPr id="120485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54017" name=""/>
                    <pic:cNvPicPr/>
                  </pic:nvPicPr>
                  <pic:blipFill>
                    <a:blip r:embed="rId15"/>
                    <a:stretch>
                      <a:fillRect/>
                    </a:stretch>
                  </pic:blipFill>
                  <pic:spPr>
                    <a:xfrm>
                      <a:off x="0" y="0"/>
                      <a:ext cx="2920046" cy="3348415"/>
                    </a:xfrm>
                    <a:prstGeom prst="rect">
                      <a:avLst/>
                    </a:prstGeom>
                  </pic:spPr>
                </pic:pic>
              </a:graphicData>
            </a:graphic>
          </wp:inline>
        </w:drawing>
      </w:r>
    </w:p>
    <w:p w14:paraId="2E1C2FD3" w14:textId="77777777" w:rsidR="002400D6" w:rsidRDefault="002400D6">
      <w:pPr>
        <w:spacing w:before="77"/>
        <w:ind w:left="100"/>
        <w:rPr>
          <w:b/>
          <w:color w:val="135B85"/>
          <w:sz w:val="32"/>
        </w:rPr>
      </w:pPr>
      <w:bookmarkStart w:id="1" w:name="_bookmark1"/>
      <w:bookmarkEnd w:id="1"/>
    </w:p>
    <w:p w14:paraId="78A91F88" w14:textId="0A551B33" w:rsidR="00434EFF" w:rsidRDefault="00C60FEF" w:rsidP="00C60FEF">
      <w:pPr>
        <w:pStyle w:val="BodyText"/>
        <w:spacing w:before="200" w:line="360" w:lineRule="auto"/>
        <w:ind w:left="100" w:right="99"/>
        <w:jc w:val="center"/>
        <w:rPr>
          <w:color w:val="7E7E7E"/>
        </w:rPr>
      </w:pPr>
      <w:r w:rsidRPr="00C60FEF">
        <w:rPr>
          <w:color w:val="7E7E7E"/>
          <w:sz w:val="18"/>
          <w:szCs w:val="18"/>
        </w:rPr>
        <w:t>This complaint names 38 defendants</w:t>
      </w:r>
      <w:r>
        <w:rPr>
          <w:color w:val="7E7E7E"/>
        </w:rPr>
        <w:t xml:space="preserve">. </w:t>
      </w:r>
    </w:p>
    <w:p w14:paraId="6D22BF9C" w14:textId="32586382" w:rsidR="00C60FEF" w:rsidRDefault="002400D6" w:rsidP="00C60FEF">
      <w:pPr>
        <w:pStyle w:val="BodyText"/>
        <w:spacing w:before="200" w:line="360" w:lineRule="auto"/>
        <w:ind w:left="100" w:right="99"/>
        <w:jc w:val="both"/>
        <w:rPr>
          <w:color w:val="7E7E7E"/>
        </w:rPr>
      </w:pPr>
      <w:r w:rsidRPr="002400D6">
        <w:rPr>
          <w:color w:val="7E7E7E"/>
        </w:rPr>
        <w:t>This difference</w:t>
      </w:r>
      <w:r w:rsidR="00434EFF">
        <w:rPr>
          <w:color w:val="7E7E7E"/>
        </w:rPr>
        <w:t xml:space="preserve"> is further complicated by the historical and long-ranging insurance coverage available for asbestos claims. Because exposure dates often span many years, there can be</w:t>
      </w:r>
      <w:r w:rsidR="00C60FEF">
        <w:rPr>
          <w:color w:val="7E7E7E"/>
        </w:rPr>
        <w:t xml:space="preserve"> </w:t>
      </w:r>
      <w:r w:rsidR="00434EFF">
        <w:rPr>
          <w:color w:val="7E7E7E"/>
        </w:rPr>
        <w:t xml:space="preserve">a corresponding number of insurance policies providing coverage to defendants. </w:t>
      </w:r>
    </w:p>
    <w:p w14:paraId="0B0BBAED" w14:textId="7C9B4E96" w:rsidR="002400D6" w:rsidRDefault="00434EFF" w:rsidP="00C60FEF">
      <w:pPr>
        <w:pStyle w:val="BodyText"/>
        <w:spacing w:before="200" w:line="360" w:lineRule="auto"/>
        <w:ind w:left="100" w:right="99"/>
        <w:jc w:val="center"/>
        <w:rPr>
          <w:b/>
          <w:color w:val="135B85"/>
          <w:sz w:val="32"/>
        </w:rPr>
      </w:pPr>
      <w:r w:rsidRPr="00434EFF">
        <w:rPr>
          <w:b/>
          <w:noProof/>
          <w:color w:val="135B85"/>
          <w:sz w:val="32"/>
        </w:rPr>
        <w:drawing>
          <wp:inline distT="0" distB="0" distL="0" distR="0" wp14:anchorId="3FBDD037" wp14:editId="0E11F83A">
            <wp:extent cx="2825581" cy="2094614"/>
            <wp:effectExtent l="0" t="0" r="0" b="1270"/>
            <wp:docPr id="199544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49600" name=""/>
                    <pic:cNvPicPr/>
                  </pic:nvPicPr>
                  <pic:blipFill>
                    <a:blip r:embed="rId16"/>
                    <a:stretch>
                      <a:fillRect/>
                    </a:stretch>
                  </pic:blipFill>
                  <pic:spPr>
                    <a:xfrm>
                      <a:off x="0" y="0"/>
                      <a:ext cx="2842286" cy="2106997"/>
                    </a:xfrm>
                    <a:prstGeom prst="rect">
                      <a:avLst/>
                    </a:prstGeom>
                  </pic:spPr>
                </pic:pic>
              </a:graphicData>
            </a:graphic>
          </wp:inline>
        </w:drawing>
      </w:r>
    </w:p>
    <w:p w14:paraId="23E0EBCC" w14:textId="61EFC1A9" w:rsidR="00434EFF" w:rsidRPr="00C60FEF" w:rsidRDefault="00C60FEF" w:rsidP="00C60FEF">
      <w:pPr>
        <w:pStyle w:val="BodyText"/>
        <w:spacing w:before="200" w:line="360" w:lineRule="auto"/>
        <w:ind w:left="100" w:right="99"/>
        <w:jc w:val="center"/>
        <w:rPr>
          <w:color w:val="7E7E7E"/>
          <w:sz w:val="18"/>
          <w:szCs w:val="18"/>
        </w:rPr>
      </w:pPr>
      <w:r w:rsidRPr="00C60FEF">
        <w:rPr>
          <w:color w:val="7E7E7E"/>
          <w:sz w:val="18"/>
          <w:szCs w:val="18"/>
        </w:rPr>
        <w:t>A typical insurance coverage chart</w:t>
      </w:r>
    </w:p>
    <w:p w14:paraId="5AA3A396" w14:textId="425FB1E4" w:rsidR="00B26A11" w:rsidRDefault="00434EFF" w:rsidP="00B26A11">
      <w:pPr>
        <w:pStyle w:val="BodyText"/>
        <w:spacing w:before="200" w:line="360" w:lineRule="auto"/>
        <w:ind w:left="100" w:right="99"/>
        <w:jc w:val="both"/>
        <w:rPr>
          <w:color w:val="7E7E7E"/>
        </w:rPr>
      </w:pPr>
      <w:r w:rsidRPr="00434EFF">
        <w:rPr>
          <w:color w:val="7E7E7E"/>
        </w:rPr>
        <w:t>This</w:t>
      </w:r>
      <w:r>
        <w:rPr>
          <w:color w:val="7E7E7E"/>
        </w:rPr>
        <w:t xml:space="preserve"> dynamic creates exponential growth in case complexity. If one plaintiff sues </w:t>
      </w:r>
      <w:r w:rsidR="00544669">
        <w:rPr>
          <w:color w:val="7E7E7E"/>
        </w:rPr>
        <w:t xml:space="preserve">20 </w:t>
      </w:r>
      <w:r>
        <w:rPr>
          <w:color w:val="7E7E7E"/>
        </w:rPr>
        <w:lastRenderedPageBreak/>
        <w:t>defendants, and each of those defendants has five different responsive insurance policies – then each law suit results in payments from 100 different insurance entities.</w:t>
      </w:r>
      <w:r w:rsidR="00B26A11">
        <w:rPr>
          <w:color w:val="7E7E7E"/>
        </w:rPr>
        <w:t xml:space="preserve"> This complexity affects almost every aspect of defending and managing mass tort claims. It also means that other legal software </w:t>
      </w:r>
      <w:r w:rsidR="00C60FEF">
        <w:rPr>
          <w:color w:val="7E7E7E"/>
        </w:rPr>
        <w:t>can</w:t>
      </w:r>
      <w:r w:rsidR="00B26A11">
        <w:rPr>
          <w:color w:val="7E7E7E"/>
        </w:rPr>
        <w:t xml:space="preserve"> only address specific needs within firms, rather than being comprehensive solutions. </w:t>
      </w:r>
    </w:p>
    <w:p w14:paraId="738C7EA7" w14:textId="6C383F75" w:rsidR="00CF71D0" w:rsidRDefault="00B26A11" w:rsidP="00B26A11">
      <w:pPr>
        <w:pStyle w:val="BodyText"/>
        <w:spacing w:before="200" w:line="360" w:lineRule="auto"/>
        <w:ind w:left="100" w:right="99"/>
        <w:jc w:val="both"/>
        <w:rPr>
          <w:color w:val="7E7E7E"/>
        </w:rPr>
      </w:pPr>
      <w:r>
        <w:rPr>
          <w:color w:val="7E7E7E"/>
        </w:rPr>
        <w:t xml:space="preserve">Broadly, legal software can be broken down into three categories. Billing, internal case management, and </w:t>
      </w:r>
      <w:r w:rsidR="00CF71D0">
        <w:rPr>
          <w:color w:val="7E7E7E"/>
        </w:rPr>
        <w:t>document management</w:t>
      </w:r>
      <w:r>
        <w:rPr>
          <w:color w:val="7E7E7E"/>
        </w:rPr>
        <w:t xml:space="preserve">. In typical litigation matters, where cases </w:t>
      </w:r>
      <w:r w:rsidR="00C60FEF">
        <w:rPr>
          <w:color w:val="7E7E7E"/>
        </w:rPr>
        <w:t>involve</w:t>
      </w:r>
      <w:r>
        <w:rPr>
          <w:color w:val="7E7E7E"/>
        </w:rPr>
        <w:t xml:space="preserve"> simply a single plaintiff vs. a single defendant, coordinating data between these three system types is elementary. All that is required is to match plaintiffs and defendants within the systems. </w:t>
      </w:r>
      <w:r w:rsidR="00A5720F">
        <w:rPr>
          <w:color w:val="7E7E7E"/>
        </w:rPr>
        <w:t>Conversely, in mass tort claims, each of these systems deals with a different layer of complexity within the lawsuit. Internal case management software is set up to view individual plaintiffs. The various defendants sued by each plaintiff are data fields that correspond to each plaintiff, rather than being a separate matter, and which insurance policies are responsive to each claim is not accounted for. For lawyers entering their time into billing software, the matters are viewed as a single plaintiff vs. a single defendant. Each defendant in a plaintiff case is billed separately. And on the back</w:t>
      </w:r>
      <w:r w:rsidR="00900872">
        <w:rPr>
          <w:color w:val="7E7E7E"/>
        </w:rPr>
        <w:t xml:space="preserve"> </w:t>
      </w:r>
      <w:r w:rsidR="00A5720F">
        <w:rPr>
          <w:color w:val="7E7E7E"/>
        </w:rPr>
        <w:t xml:space="preserve">end, when bills are sent to insurers for payments, matters are expressed in terms of individual insurance policies. </w:t>
      </w:r>
      <w:r w:rsidR="00CF71D0">
        <w:rPr>
          <w:color w:val="7E7E7E"/>
        </w:rPr>
        <w:t>Document management systems are organized by plaintiff bins, with data fields for defendants.</w:t>
      </w:r>
    </w:p>
    <w:p w14:paraId="5DA7BFAC" w14:textId="43BC8C81" w:rsidR="00B26A11" w:rsidRDefault="00CF71D0" w:rsidP="00B26A11">
      <w:pPr>
        <w:pStyle w:val="BodyText"/>
        <w:spacing w:before="200" w:line="360" w:lineRule="auto"/>
        <w:ind w:left="100" w:right="99"/>
        <w:jc w:val="both"/>
        <w:rPr>
          <w:color w:val="7E7E7E"/>
        </w:rPr>
      </w:pPr>
      <w:r>
        <w:rPr>
          <w:color w:val="7E7E7E"/>
        </w:rPr>
        <w:t xml:space="preserve">The Cook Book was meant to address this specific issue of complexity in litigation matters. Rather than </w:t>
      </w:r>
      <w:r w:rsidR="00C60FEF">
        <w:rPr>
          <w:color w:val="7E7E7E"/>
        </w:rPr>
        <w:t>having</w:t>
      </w:r>
      <w:r>
        <w:rPr>
          <w:color w:val="7E7E7E"/>
        </w:rPr>
        <w:t xml:space="preserve"> completely separate systems with completely different databases supporting them, everything is based on a single, unified organizational scheme. The billing, case management, and document management interfaces all sit on top of the same database. This allows all three systems to work in unison in a way that is impossible for other software. </w:t>
      </w:r>
      <w:r w:rsidR="00B31728">
        <w:rPr>
          <w:color w:val="7E7E7E"/>
        </w:rPr>
        <w:t>Additionally, it allows for integration with enterprise software like Microsoft Outlook. To be able to draft emails, make calendar entries, initiate workflows, send bills, and track data from a single unified group of matters has provided massive efficiency gains in both litigation and administration costs at all levels of The Cook Group.</w:t>
      </w:r>
    </w:p>
    <w:p w14:paraId="05948902" w14:textId="59A4C3AD" w:rsidR="00F57373" w:rsidRPr="00434EFF" w:rsidRDefault="00F57373" w:rsidP="00B26A11">
      <w:pPr>
        <w:pStyle w:val="BodyText"/>
        <w:spacing w:before="200" w:line="360" w:lineRule="auto"/>
        <w:ind w:left="100" w:right="99"/>
        <w:jc w:val="both"/>
        <w:rPr>
          <w:color w:val="7E7E7E"/>
        </w:rPr>
      </w:pPr>
      <w:r>
        <w:rPr>
          <w:color w:val="7E7E7E"/>
        </w:rPr>
        <w:t xml:space="preserve">While in many industries, having a purpose-built software platform that addresses niche business needs would be enough to bring The Cook Book to market. The legal industry can be set in their ways. If something is working in court for their client, there is no need to change it. This caution carries over to technology implementation. Traditionally law firms have been slow to adapt to new technology or software. However, the current interest in AI has pushed many firms to take a second look at the software they are running. Unlike many past technology shifts, AI cannot simply be bolted onto existing software. The Cook Book has AI integrated at all levels from automation to analysis, so we are well positioned to fulfill this new </w:t>
      </w:r>
      <w:r>
        <w:rPr>
          <w:color w:val="7E7E7E"/>
        </w:rPr>
        <w:lastRenderedPageBreak/>
        <w:t xml:space="preserve">demand being put on law firms by their clients. Further reducing the traditional “stickiness” in the asbestos </w:t>
      </w:r>
      <w:r w:rsidR="00C60FEF">
        <w:rPr>
          <w:color w:val="7E7E7E"/>
        </w:rPr>
        <w:t xml:space="preserve">software </w:t>
      </w:r>
      <w:r>
        <w:rPr>
          <w:color w:val="7E7E7E"/>
        </w:rPr>
        <w:t>market is the fact that World</w:t>
      </w:r>
      <w:r w:rsidR="00544669">
        <w:rPr>
          <w:color w:val="7E7E7E"/>
        </w:rPr>
        <w:t>ox</w:t>
      </w:r>
      <w:r>
        <w:rPr>
          <w:color w:val="7E7E7E"/>
        </w:rPr>
        <w:t xml:space="preserve">, the standard document management system for asbestos law firms, has ended support for their old product and are forcing customers into a far more expensive version. This </w:t>
      </w:r>
      <w:r w:rsidR="00C60FEF">
        <w:rPr>
          <w:color w:val="7E7E7E"/>
        </w:rPr>
        <w:t>too</w:t>
      </w:r>
      <w:r>
        <w:rPr>
          <w:color w:val="7E7E7E"/>
        </w:rPr>
        <w:t xml:space="preserve"> is causing asbestos law firms to take a second look at their software platforms and will provide a significant initial boost in our marketing efforts. </w:t>
      </w:r>
    </w:p>
    <w:p w14:paraId="348EE100" w14:textId="77777777" w:rsidR="00434EFF" w:rsidRDefault="00434EFF">
      <w:pPr>
        <w:spacing w:before="77"/>
        <w:ind w:left="100"/>
        <w:rPr>
          <w:b/>
          <w:color w:val="135B85"/>
          <w:sz w:val="32"/>
        </w:rPr>
      </w:pPr>
    </w:p>
    <w:p w14:paraId="33CC6A9C" w14:textId="06C2C196" w:rsidR="005B4C58" w:rsidRDefault="00F86057">
      <w:pPr>
        <w:spacing w:before="77"/>
        <w:ind w:left="100"/>
        <w:rPr>
          <w:b/>
          <w:sz w:val="32"/>
        </w:rPr>
      </w:pPr>
      <w:r>
        <w:rPr>
          <w:b/>
          <w:color w:val="135B85"/>
          <w:sz w:val="32"/>
        </w:rPr>
        <w:t>About</w:t>
      </w:r>
      <w:r>
        <w:rPr>
          <w:b/>
          <w:color w:val="135B85"/>
          <w:spacing w:val="-13"/>
          <w:sz w:val="32"/>
        </w:rPr>
        <w:t xml:space="preserve"> </w:t>
      </w:r>
      <w:r>
        <w:rPr>
          <w:b/>
          <w:color w:val="135B85"/>
          <w:spacing w:val="-5"/>
          <w:sz w:val="32"/>
        </w:rPr>
        <w:t>Us</w:t>
      </w:r>
    </w:p>
    <w:p w14:paraId="33CC6AA7" w14:textId="3E641522" w:rsidR="005B4C58" w:rsidRDefault="00F86057" w:rsidP="00D55BFB">
      <w:pPr>
        <w:pStyle w:val="BodyText"/>
        <w:rPr>
          <w:b/>
          <w:sz w:val="24"/>
        </w:rPr>
      </w:pPr>
      <w:r>
        <w:rPr>
          <w:b/>
          <w:noProof/>
          <w:sz w:val="16"/>
        </w:rPr>
        <mc:AlternateContent>
          <mc:Choice Requires="wps">
            <w:drawing>
              <wp:anchor distT="0" distB="0" distL="0" distR="0" simplePos="0" relativeHeight="251653632" behindDoc="1" locked="0" layoutInCell="1" allowOverlap="1" wp14:anchorId="33CC6F00" wp14:editId="33CC6F01">
                <wp:simplePos x="0" y="0"/>
                <wp:positionH relativeFrom="page">
                  <wp:posOffset>1125016</wp:posOffset>
                </wp:positionH>
                <wp:positionV relativeFrom="paragraph">
                  <wp:posOffset>132226</wp:posOffset>
                </wp:positionV>
                <wp:extent cx="5312410" cy="1270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12700"/>
                        </a:xfrm>
                        <a:custGeom>
                          <a:avLst/>
                          <a:gdLst/>
                          <a:ahLst/>
                          <a:cxnLst/>
                          <a:rect l="l" t="t" r="r" b="b"/>
                          <a:pathLst>
                            <a:path w="5312410" h="12700">
                              <a:moveTo>
                                <a:pt x="5312029" y="0"/>
                              </a:moveTo>
                              <a:lnTo>
                                <a:pt x="0" y="0"/>
                              </a:lnTo>
                              <a:lnTo>
                                <a:pt x="0" y="12192"/>
                              </a:lnTo>
                              <a:lnTo>
                                <a:pt x="5312029" y="12192"/>
                              </a:lnTo>
                              <a:lnTo>
                                <a:pt x="5312029"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09F0ED8B" id="Graphic 13" o:spid="_x0000_s1026" style="position:absolute;margin-left:88.6pt;margin-top:10.4pt;width:418.3pt;height:1pt;z-index:-251662848;visibility:visible;mso-wrap-style:square;mso-wrap-distance-left:0;mso-wrap-distance-top:0;mso-wrap-distance-right:0;mso-wrap-distance-bottom:0;mso-position-horizontal:absolute;mso-position-horizontal-relative:page;mso-position-vertical:absolute;mso-position-vertical-relative:text;v-text-anchor:top" coordsize="53124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" path="m5312029,l,,,12192r5312029,l5312029,xe" fillcolor="#585858" stroked="f">
                <v:path arrowok="t"/>
                <w10:wrap type="topAndBottom" anchorx="page"/>
              </v:shape>
            </w:pict>
          </mc:Fallback>
        </mc:AlternateContent>
      </w:r>
      <w:bookmarkStart w:id="2" w:name="_bookmark2"/>
      <w:bookmarkEnd w:id="2"/>
      <w:r>
        <w:rPr>
          <w:b/>
          <w:noProof/>
          <w:sz w:val="16"/>
        </w:rPr>
        <mc:AlternateContent>
          <mc:Choice Requires="wps">
            <w:drawing>
              <wp:anchor distT="0" distB="0" distL="0" distR="0" simplePos="0" relativeHeight="251654656" behindDoc="1" locked="0" layoutInCell="1" allowOverlap="1" wp14:anchorId="33CC6F02" wp14:editId="33CC6F03">
                <wp:simplePos x="0" y="0"/>
                <wp:positionH relativeFrom="page">
                  <wp:posOffset>1125016</wp:posOffset>
                </wp:positionH>
                <wp:positionV relativeFrom="paragraph">
                  <wp:posOffset>132226</wp:posOffset>
                </wp:positionV>
                <wp:extent cx="5312410" cy="1270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12700"/>
                        </a:xfrm>
                        <a:custGeom>
                          <a:avLst/>
                          <a:gdLst/>
                          <a:ahLst/>
                          <a:cxnLst/>
                          <a:rect l="l" t="t" r="r" b="b"/>
                          <a:pathLst>
                            <a:path w="5312410" h="12700">
                              <a:moveTo>
                                <a:pt x="5312029" y="0"/>
                              </a:moveTo>
                              <a:lnTo>
                                <a:pt x="0" y="0"/>
                              </a:lnTo>
                              <a:lnTo>
                                <a:pt x="0" y="12192"/>
                              </a:lnTo>
                              <a:lnTo>
                                <a:pt x="5312029" y="12192"/>
                              </a:lnTo>
                              <a:lnTo>
                                <a:pt x="5312029"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26059CE6" id="Graphic 14" o:spid="_x0000_s1026" style="position:absolute;margin-left:88.6pt;margin-top:10.4pt;width:418.3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53124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" path="m5312029,l,,,12192r5312029,l5312029,xe" fillcolor="#585858" stroked="f">
                <v:path arrowok="t"/>
                <w10:wrap type="topAndBottom" anchorx="page"/>
              </v:shape>
            </w:pict>
          </mc:Fallback>
        </mc:AlternateContent>
      </w:r>
    </w:p>
    <w:p w14:paraId="33CC6AA8" w14:textId="77777777" w:rsidR="005B4C58" w:rsidRDefault="00F86057">
      <w:pPr>
        <w:spacing w:before="1"/>
        <w:ind w:left="100"/>
        <w:rPr>
          <w:b/>
          <w:sz w:val="24"/>
        </w:rPr>
      </w:pPr>
      <w:r>
        <w:rPr>
          <w:b/>
          <w:color w:val="E68800"/>
          <w:sz w:val="24"/>
        </w:rPr>
        <w:t>Our</w:t>
      </w:r>
      <w:r>
        <w:rPr>
          <w:b/>
          <w:color w:val="E68800"/>
          <w:spacing w:val="-2"/>
          <w:sz w:val="24"/>
        </w:rPr>
        <w:t xml:space="preserve"> Vision</w:t>
      </w:r>
    </w:p>
    <w:p w14:paraId="32341B2B" w14:textId="77777777" w:rsidR="00D55BFB" w:rsidRDefault="00D55BFB" w:rsidP="00D55BFB">
      <w:pPr>
        <w:pStyle w:val="BodyText"/>
        <w:spacing w:before="203" w:line="360" w:lineRule="auto"/>
        <w:ind w:left="100" w:right="102"/>
        <w:jc w:val="both"/>
        <w:rPr>
          <w:color w:val="7E7E7E"/>
        </w:rPr>
      </w:pPr>
      <w:r>
        <w:rPr>
          <w:color w:val="7E7E7E"/>
        </w:rPr>
        <w:t xml:space="preserve">Cook Group Analytics’ vision is to provide the most modern and well-thought-out data and technology platforms for anyone involved in the defense of mass tort claims. We aim to use technology to balance the playing field in an area of the law that is clearly biased against defendants. TCB was built specifically to address inefficiencies in billing and case management at the law firm level. As CGA grows, we hope to provide solutions at all levels that wholistically address the niche issues in the mass tort space. </w:t>
      </w:r>
    </w:p>
    <w:p w14:paraId="33CC6AA9" w14:textId="77777777" w:rsidR="005B4C58" w:rsidRDefault="005B4C58">
      <w:pPr>
        <w:pStyle w:val="BodyText"/>
        <w:spacing w:before="61"/>
        <w:rPr>
          <w:b/>
          <w:sz w:val="24"/>
        </w:rPr>
      </w:pPr>
    </w:p>
    <w:p w14:paraId="33CC6AB0" w14:textId="42DBD254" w:rsidR="005B4C58" w:rsidRDefault="00F86057">
      <w:pPr>
        <w:pStyle w:val="Heading1"/>
      </w:pPr>
      <w:bookmarkStart w:id="3" w:name="_bookmark3"/>
      <w:bookmarkEnd w:id="3"/>
      <w:r>
        <w:rPr>
          <w:color w:val="135B85"/>
        </w:rPr>
        <w:t>The</w:t>
      </w:r>
      <w:r>
        <w:rPr>
          <w:color w:val="135B85"/>
          <w:spacing w:val="-6"/>
        </w:rPr>
        <w:t xml:space="preserve"> </w:t>
      </w:r>
      <w:r>
        <w:rPr>
          <w:color w:val="135B85"/>
          <w:spacing w:val="-4"/>
        </w:rPr>
        <w:t>Team</w:t>
      </w:r>
      <w:r w:rsidR="003441F9">
        <w:rPr>
          <w:color w:val="135B85"/>
          <w:spacing w:val="-4"/>
        </w:rPr>
        <w:t xml:space="preserve"> </w:t>
      </w:r>
    </w:p>
    <w:p w14:paraId="33CC6AB1" w14:textId="77777777" w:rsidR="005B4C58" w:rsidRDefault="00F86057">
      <w:pPr>
        <w:pStyle w:val="BodyText"/>
        <w:rPr>
          <w:b/>
          <w:sz w:val="16"/>
        </w:rPr>
      </w:pPr>
      <w:r>
        <w:rPr>
          <w:b/>
          <w:noProof/>
          <w:sz w:val="16"/>
        </w:rPr>
        <mc:AlternateContent>
          <mc:Choice Requires="wps">
            <w:drawing>
              <wp:anchor distT="0" distB="0" distL="0" distR="0" simplePos="0" relativeHeight="251655680" behindDoc="1" locked="0" layoutInCell="1" allowOverlap="1" wp14:anchorId="33CC6F04" wp14:editId="33CC6F05">
                <wp:simplePos x="0" y="0"/>
                <wp:positionH relativeFrom="page">
                  <wp:posOffset>1125016</wp:posOffset>
                </wp:positionH>
                <wp:positionV relativeFrom="paragraph">
                  <wp:posOffset>132226</wp:posOffset>
                </wp:positionV>
                <wp:extent cx="5312410" cy="1270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12700"/>
                        </a:xfrm>
                        <a:custGeom>
                          <a:avLst/>
                          <a:gdLst/>
                          <a:ahLst/>
                          <a:cxnLst/>
                          <a:rect l="l" t="t" r="r" b="b"/>
                          <a:pathLst>
                            <a:path w="5312410" h="12700">
                              <a:moveTo>
                                <a:pt x="5312029" y="0"/>
                              </a:moveTo>
                              <a:lnTo>
                                <a:pt x="0" y="0"/>
                              </a:lnTo>
                              <a:lnTo>
                                <a:pt x="0" y="12192"/>
                              </a:lnTo>
                              <a:lnTo>
                                <a:pt x="5312029" y="12192"/>
                              </a:lnTo>
                              <a:lnTo>
                                <a:pt x="5312029"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3B39E02F" id="Graphic 15" o:spid="_x0000_s1026" style="position:absolute;margin-left:88.6pt;margin-top:10.4pt;width:418.3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53124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" path="m5312029,l,,,12192r5312029,l5312029,xe" fillcolor="#585858" stroked="f">
                <v:path arrowok="t"/>
                <w10:wrap type="topAndBottom" anchorx="page"/>
              </v:shape>
            </w:pict>
          </mc:Fallback>
        </mc:AlternateContent>
      </w:r>
    </w:p>
    <w:p w14:paraId="33CC6AB2" w14:textId="77777777" w:rsidR="005B4C58" w:rsidRDefault="005B4C58">
      <w:pPr>
        <w:pStyle w:val="BodyText"/>
        <w:spacing w:before="25"/>
        <w:rPr>
          <w:b/>
        </w:rPr>
      </w:pPr>
    </w:p>
    <w:p w14:paraId="33CC6AB3" w14:textId="20F3B1FF" w:rsidR="005B4C58" w:rsidRDefault="000405A3">
      <w:pPr>
        <w:pStyle w:val="BodyText"/>
        <w:spacing w:line="360" w:lineRule="auto"/>
        <w:ind w:left="100" w:right="101"/>
        <w:jc w:val="both"/>
      </w:pPr>
      <w:r>
        <w:rPr>
          <w:color w:val="7E7E7E"/>
        </w:rPr>
        <w:t xml:space="preserve">We have spent six years building a </w:t>
      </w:r>
      <w:r w:rsidR="002A482B">
        <w:rPr>
          <w:color w:val="7E7E7E"/>
        </w:rPr>
        <w:t xml:space="preserve">machine that chews up asbestos cases with the precision of a Swiss watch. </w:t>
      </w:r>
    </w:p>
    <w:p w14:paraId="6150B8F0" w14:textId="6216043B" w:rsidR="006E6B9A" w:rsidRDefault="006E6B9A" w:rsidP="00900872">
      <w:pPr>
        <w:spacing w:before="199"/>
        <w:ind w:left="1440"/>
        <w:rPr>
          <w:b/>
          <w:color w:val="E68800"/>
          <w:sz w:val="24"/>
        </w:rPr>
      </w:pPr>
      <w:r w:rsidRPr="006E6B9A">
        <w:rPr>
          <w:b/>
          <w:noProof/>
          <w:color w:val="E68800"/>
          <w:sz w:val="24"/>
        </w:rPr>
        <w:drawing>
          <wp:inline distT="0" distB="0" distL="0" distR="0" wp14:anchorId="5E169825" wp14:editId="6217B732">
            <wp:extent cx="660991" cy="664363"/>
            <wp:effectExtent l="0" t="0" r="6350" b="2540"/>
            <wp:docPr id="57674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46607" name=""/>
                    <pic:cNvPicPr/>
                  </pic:nvPicPr>
                  <pic:blipFill>
                    <a:blip r:embed="rId17"/>
                    <a:stretch>
                      <a:fillRect/>
                    </a:stretch>
                  </pic:blipFill>
                  <pic:spPr>
                    <a:xfrm>
                      <a:off x="0" y="0"/>
                      <a:ext cx="675559" cy="679005"/>
                    </a:xfrm>
                    <a:prstGeom prst="rect">
                      <a:avLst/>
                    </a:prstGeom>
                  </pic:spPr>
                </pic:pic>
              </a:graphicData>
            </a:graphic>
          </wp:inline>
        </w:drawing>
      </w:r>
      <w:r w:rsidRPr="006E6B9A">
        <w:rPr>
          <w:b/>
          <w:color w:val="E68800"/>
          <w:sz w:val="24"/>
        </w:rPr>
        <w:t xml:space="preserve"> </w:t>
      </w:r>
      <w:r w:rsidR="00900872">
        <w:rPr>
          <w:b/>
          <w:color w:val="E68800"/>
          <w:sz w:val="24"/>
        </w:rPr>
        <w:t>Kerryann Cook -</w:t>
      </w:r>
      <w:r w:rsidR="00900872">
        <w:rPr>
          <w:b/>
          <w:color w:val="E68800"/>
          <w:spacing w:val="-3"/>
          <w:sz w:val="24"/>
        </w:rPr>
        <w:t xml:space="preserve"> </w:t>
      </w:r>
      <w:r w:rsidR="00900872">
        <w:rPr>
          <w:b/>
          <w:color w:val="E68800"/>
          <w:sz w:val="24"/>
        </w:rPr>
        <w:t>Co-Founder</w:t>
      </w:r>
      <w:r w:rsidR="00900872">
        <w:rPr>
          <w:b/>
          <w:color w:val="E68800"/>
          <w:spacing w:val="-1"/>
          <w:sz w:val="24"/>
        </w:rPr>
        <w:t xml:space="preserve"> </w:t>
      </w:r>
      <w:r w:rsidR="00900872">
        <w:rPr>
          <w:b/>
          <w:color w:val="E68800"/>
          <w:sz w:val="24"/>
        </w:rPr>
        <w:t>and</w:t>
      </w:r>
      <w:r w:rsidR="00900872">
        <w:rPr>
          <w:b/>
          <w:color w:val="E68800"/>
          <w:spacing w:val="-1"/>
          <w:sz w:val="24"/>
        </w:rPr>
        <w:t xml:space="preserve"> </w:t>
      </w:r>
      <w:r w:rsidR="00900872">
        <w:rPr>
          <w:b/>
          <w:color w:val="E68800"/>
          <w:sz w:val="24"/>
        </w:rPr>
        <w:t>Executive Director</w:t>
      </w:r>
    </w:p>
    <w:p w14:paraId="6A5381E9" w14:textId="77777777" w:rsidR="006E6B9A" w:rsidRDefault="006E6B9A" w:rsidP="00900872">
      <w:pPr>
        <w:spacing w:before="199"/>
        <w:ind w:left="1440"/>
        <w:rPr>
          <w:b/>
          <w:sz w:val="24"/>
        </w:rPr>
      </w:pPr>
    </w:p>
    <w:p w14:paraId="3AD35370" w14:textId="6948FEC9" w:rsidR="006E6B9A" w:rsidRDefault="006E6B9A" w:rsidP="006E6B9A">
      <w:pPr>
        <w:pStyle w:val="BodyText"/>
        <w:spacing w:line="360" w:lineRule="auto"/>
        <w:ind w:left="100" w:right="101"/>
        <w:jc w:val="both"/>
        <w:rPr>
          <w:color w:val="7E7E7E"/>
        </w:rPr>
      </w:pPr>
      <w:r w:rsidRPr="006E6B9A">
        <w:rPr>
          <w:color w:val="7E7E7E"/>
        </w:rPr>
        <w:t xml:space="preserve">Kerryann Cook is the Managing Partner and founding member of The Cook Group. As one of the premier products liability defense attorneys in the United States, Kerryann has managed, tried or resolved thousands of cases across the country. From that experience, Kerryann has seen the common pitfalls for clients navigating lawsuits, as well as some of the shortcomings that can happen in client service. Kerryann believes there is a more modern, more efficient and more effective way to practice law and service clients. That is why she founded The Cook Group with </w:t>
      </w:r>
      <w:r>
        <w:rPr>
          <w:color w:val="7E7E7E"/>
        </w:rPr>
        <w:t xml:space="preserve">her </w:t>
      </w:r>
      <w:r w:rsidRPr="006E6B9A">
        <w:rPr>
          <w:color w:val="7E7E7E"/>
        </w:rPr>
        <w:t>handpicked team of attorneys dedicated to leading the charge to modernize and streamline practices to more efficiently serve clients while effectively advancing and protecting their interests.</w:t>
      </w:r>
    </w:p>
    <w:p w14:paraId="6C962506" w14:textId="77777777" w:rsidR="00C60FEF" w:rsidRPr="006E6B9A" w:rsidRDefault="00C60FEF" w:rsidP="006E6B9A">
      <w:pPr>
        <w:pStyle w:val="BodyText"/>
        <w:spacing w:line="360" w:lineRule="auto"/>
        <w:ind w:left="100" w:right="101"/>
        <w:jc w:val="both"/>
        <w:rPr>
          <w:color w:val="7E7E7E"/>
        </w:rPr>
      </w:pPr>
    </w:p>
    <w:p w14:paraId="5834CE52" w14:textId="48BCF621" w:rsidR="006E6B9A" w:rsidRDefault="006E6B9A" w:rsidP="006E6B9A">
      <w:pPr>
        <w:pStyle w:val="BodyText"/>
        <w:spacing w:line="360" w:lineRule="auto"/>
        <w:ind w:left="100" w:right="101"/>
        <w:jc w:val="both"/>
        <w:rPr>
          <w:color w:val="7E7E7E"/>
        </w:rPr>
      </w:pPr>
      <w:r w:rsidRPr="006E6B9A">
        <w:rPr>
          <w:color w:val="7E7E7E"/>
        </w:rPr>
        <w:lastRenderedPageBreak/>
        <w:t xml:space="preserve">Known as an extremely tough and shrewd advocate and negotiator, Kerryann was chosen by her peers to currently serve as one of four defense liaison counsel to the New York City Asbestos Litigation (NYCAL). She has also served </w:t>
      </w:r>
      <w:r w:rsidR="00C60FEF">
        <w:rPr>
          <w:color w:val="7E7E7E"/>
        </w:rPr>
        <w:t xml:space="preserve">as </w:t>
      </w:r>
      <w:r w:rsidRPr="006E6B9A">
        <w:rPr>
          <w:color w:val="7E7E7E"/>
        </w:rPr>
        <w:t>a member of the NYCAL Case Management Committee, is liaison counsel for active docket cases, and is also a member of the defense medical liaison group.</w:t>
      </w:r>
    </w:p>
    <w:p w14:paraId="14DD3DBA" w14:textId="77777777" w:rsidR="00E26442" w:rsidRPr="006E6B9A" w:rsidRDefault="00E26442" w:rsidP="006E6B9A">
      <w:pPr>
        <w:pStyle w:val="BodyText"/>
        <w:spacing w:line="360" w:lineRule="auto"/>
        <w:ind w:left="100" w:right="101"/>
        <w:jc w:val="both"/>
        <w:rPr>
          <w:color w:val="7E7E7E"/>
        </w:rPr>
      </w:pPr>
    </w:p>
    <w:p w14:paraId="7CDC096F" w14:textId="6BFAECCC" w:rsidR="006E6B9A" w:rsidRPr="006E6B9A" w:rsidRDefault="006E6B9A" w:rsidP="006E6B9A">
      <w:pPr>
        <w:pStyle w:val="BodyText"/>
        <w:spacing w:line="360" w:lineRule="auto"/>
        <w:ind w:left="100" w:right="101"/>
        <w:jc w:val="both"/>
        <w:rPr>
          <w:color w:val="7E7E7E"/>
        </w:rPr>
      </w:pPr>
      <w:r w:rsidRPr="006E6B9A">
        <w:rPr>
          <w:color w:val="7E7E7E"/>
        </w:rPr>
        <w:t xml:space="preserve">Due to her proven track record of successfully managing and settling cases across the country, Kerryann serves as National Coordinating Counsel for several major clients in toxic tort litigation around the nation. In addition to managing and resolving cases for clients, Kerryann has played an instrumental role in bringing important legal issues to the forefront for her clients on the appellate side as well. Some of her appellate highlights include Corazza v. Amchem Prods. Inc., </w:t>
      </w:r>
      <w:commentRangeStart w:id="4"/>
      <w:r w:rsidRPr="006E6B9A">
        <w:rPr>
          <w:color w:val="7E7E7E"/>
        </w:rPr>
        <w:t xml:space="preserve">(Cooney </w:t>
      </w:r>
      <w:commentRangeEnd w:id="4"/>
      <w:r w:rsidR="00E26442" w:rsidRPr="006E6B9A">
        <w:rPr>
          <w:rStyle w:val="CommentReference"/>
          <w:color w:val="7E7E7E"/>
          <w:sz w:val="22"/>
          <w:szCs w:val="22"/>
        </w:rPr>
        <w:commentReference w:id="4"/>
      </w:r>
      <w:r w:rsidRPr="006E6B9A">
        <w:rPr>
          <w:color w:val="7E7E7E"/>
        </w:rPr>
        <w:t xml:space="preserve">(2019 WL 1387270)(reversing $1.7 million asbestos exposure award because Plaintiff failed to show that he was exposed to asbestos through his work on Caterpillar equipment) and Robert F. Perdicaro v. A.O. Smith Water Products, et al., 52 A.D.3d 300 (1st Dep’t 2008). Kerryann is in demand on the public speaking circuit and has served on the faculty at industry conferences presented by the American Conference Institute (ACI), Defense Resource Institute (DRI), Harris Martin, </w:t>
      </w:r>
      <w:r w:rsidR="00E26442">
        <w:rPr>
          <w:color w:val="7E7E7E"/>
        </w:rPr>
        <w:t xml:space="preserve">and </w:t>
      </w:r>
      <w:r w:rsidRPr="006E6B9A">
        <w:rPr>
          <w:color w:val="7E7E7E"/>
        </w:rPr>
        <w:t>Perrin Conferences. She has also given presentations on a wide variety of legal issues for numerous insurance companies as a part of their in-house training programs.</w:t>
      </w:r>
    </w:p>
    <w:p w14:paraId="33CC6AB4" w14:textId="367B522B" w:rsidR="005B4C58" w:rsidRDefault="006E6B9A">
      <w:pPr>
        <w:spacing w:before="202"/>
        <w:ind w:left="1466"/>
        <w:rPr>
          <w:b/>
          <w:sz w:val="24"/>
        </w:rPr>
      </w:pPr>
      <w:r w:rsidRPr="006E6B9A">
        <w:rPr>
          <w:b/>
          <w:noProof/>
          <w:color w:val="E68800"/>
          <w:sz w:val="24"/>
        </w:rPr>
        <w:drawing>
          <wp:inline distT="0" distB="0" distL="0" distR="0" wp14:anchorId="32E35AD0" wp14:editId="1B51C775">
            <wp:extent cx="849915" cy="531174"/>
            <wp:effectExtent l="0" t="0" r="7620" b="2540"/>
            <wp:docPr id="227420885" name="Picture 40" descr="Kev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Kevi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66674" cy="541648"/>
                    </a:xfrm>
                    <a:prstGeom prst="rect">
                      <a:avLst/>
                    </a:prstGeom>
                    <a:noFill/>
                    <a:ln>
                      <a:noFill/>
                    </a:ln>
                  </pic:spPr>
                </pic:pic>
              </a:graphicData>
            </a:graphic>
          </wp:inline>
        </w:drawing>
      </w:r>
      <w:r w:rsidRPr="006E6B9A">
        <w:rPr>
          <w:b/>
          <w:color w:val="E68800"/>
          <w:sz w:val="24"/>
        </w:rPr>
        <w:t xml:space="preserve"> </w:t>
      </w:r>
      <w:r w:rsidR="000405A3">
        <w:rPr>
          <w:b/>
          <w:color w:val="E68800"/>
          <w:sz w:val="24"/>
        </w:rPr>
        <w:t>Kevin Hannemann</w:t>
      </w:r>
      <w:r w:rsidR="00F86057">
        <w:rPr>
          <w:b/>
          <w:color w:val="E68800"/>
          <w:spacing w:val="1"/>
          <w:sz w:val="24"/>
        </w:rPr>
        <w:t xml:space="preserve"> </w:t>
      </w:r>
      <w:r w:rsidR="00F86057">
        <w:rPr>
          <w:b/>
          <w:color w:val="E68800"/>
          <w:sz w:val="24"/>
        </w:rPr>
        <w:t>– Co-Founder and</w:t>
      </w:r>
      <w:r w:rsidR="00F86057">
        <w:rPr>
          <w:b/>
          <w:color w:val="E68800"/>
          <w:spacing w:val="-1"/>
          <w:sz w:val="24"/>
        </w:rPr>
        <w:t xml:space="preserve"> </w:t>
      </w:r>
      <w:r w:rsidR="00F86057">
        <w:rPr>
          <w:b/>
          <w:color w:val="E68800"/>
          <w:spacing w:val="-5"/>
          <w:sz w:val="24"/>
        </w:rPr>
        <w:t>CEO</w:t>
      </w:r>
    </w:p>
    <w:p w14:paraId="33CC6AB5" w14:textId="77777777" w:rsidR="005B4C58" w:rsidRDefault="005B4C58">
      <w:pPr>
        <w:pStyle w:val="BodyText"/>
        <w:spacing w:before="61"/>
        <w:rPr>
          <w:b/>
          <w:sz w:val="24"/>
        </w:rPr>
      </w:pPr>
    </w:p>
    <w:p w14:paraId="36C3C0DE" w14:textId="1DEDD863" w:rsidR="006E6B9A" w:rsidRDefault="006E6B9A" w:rsidP="006E6B9A">
      <w:pPr>
        <w:pStyle w:val="BodyText"/>
        <w:spacing w:line="360" w:lineRule="auto"/>
        <w:ind w:left="100" w:right="101"/>
        <w:jc w:val="both"/>
        <w:rPr>
          <w:color w:val="7E7E7E"/>
        </w:rPr>
      </w:pPr>
      <w:r w:rsidRPr="006E6B9A">
        <w:rPr>
          <w:color w:val="7E7E7E"/>
        </w:rPr>
        <w:t xml:space="preserve">Prior to The Cook Group, Kevin spent five years at two of the largest long-tail reinsurance providers in the world, focused on strategic risk management across multiple books of business. Through comprehensive litigation management – including retention of outside counsel, trial risk and strategy, granular case risk assessment and valuation, training of both in-house personnel and outside counsel on a variety of legal issues, development of quantitative risk measurement tools, direct negotiation with stake-holders, and frequent collaboration with policyholder clients – Kevin was able to help pay over $500,000,000.00 to more than </w:t>
      </w:r>
      <w:r w:rsidR="00E26442">
        <w:rPr>
          <w:color w:val="7E7E7E"/>
        </w:rPr>
        <w:t>10,000</w:t>
      </w:r>
      <w:r w:rsidRPr="006E6B9A">
        <w:rPr>
          <w:color w:val="7E7E7E"/>
        </w:rPr>
        <w:t xml:space="preserve"> claimants in all </w:t>
      </w:r>
      <w:r w:rsidR="00E26442">
        <w:rPr>
          <w:color w:val="7E7E7E"/>
        </w:rPr>
        <w:t>50</w:t>
      </w:r>
      <w:r w:rsidR="00E26442" w:rsidRPr="006E6B9A">
        <w:rPr>
          <w:color w:val="7E7E7E"/>
        </w:rPr>
        <w:t xml:space="preserve"> </w:t>
      </w:r>
      <w:r w:rsidRPr="006E6B9A">
        <w:rPr>
          <w:color w:val="7E7E7E"/>
        </w:rPr>
        <w:t>states, while also appropriately conserving valuable policyholder client insurance assets.</w:t>
      </w:r>
    </w:p>
    <w:p w14:paraId="11BC99D0" w14:textId="77777777" w:rsidR="00E26442" w:rsidRPr="006E6B9A" w:rsidRDefault="00E26442" w:rsidP="006E6B9A">
      <w:pPr>
        <w:pStyle w:val="BodyText"/>
        <w:spacing w:line="360" w:lineRule="auto"/>
        <w:ind w:left="100" w:right="101"/>
        <w:jc w:val="both"/>
        <w:rPr>
          <w:color w:val="7E7E7E"/>
        </w:rPr>
      </w:pPr>
    </w:p>
    <w:p w14:paraId="0ECADB7E" w14:textId="77777777" w:rsidR="006E6B9A" w:rsidRDefault="006E6B9A" w:rsidP="006E6B9A">
      <w:pPr>
        <w:pStyle w:val="BodyText"/>
        <w:spacing w:line="360" w:lineRule="auto"/>
        <w:ind w:left="100" w:right="101"/>
        <w:jc w:val="both"/>
        <w:rPr>
          <w:color w:val="7E7E7E"/>
        </w:rPr>
      </w:pPr>
      <w:r w:rsidRPr="006E6B9A">
        <w:rPr>
          <w:color w:val="7E7E7E"/>
        </w:rPr>
        <w:t xml:space="preserve">At The Cook Group, Kevin uses his broad and deep litigation management experience to provide clients with efficient and aggressive management of individual cases and entire liability portfolios. Knowing when to quietly resolve and when to litigate, or even try a case through verdict and appeal, is the most difficult decision of any case. Kevin’s expertise helps </w:t>
      </w:r>
      <w:r w:rsidRPr="006E6B9A">
        <w:rPr>
          <w:color w:val="7E7E7E"/>
        </w:rPr>
        <w:lastRenderedPageBreak/>
        <w:t>clients and insurers feel confident in their decisions.</w:t>
      </w:r>
    </w:p>
    <w:p w14:paraId="3E6FA84A" w14:textId="77777777" w:rsidR="00C60FEF" w:rsidRPr="006E6B9A" w:rsidRDefault="00C60FEF" w:rsidP="006E6B9A">
      <w:pPr>
        <w:pStyle w:val="BodyText"/>
        <w:spacing w:line="360" w:lineRule="auto"/>
        <w:ind w:left="100" w:right="101"/>
        <w:jc w:val="both"/>
        <w:rPr>
          <w:color w:val="7E7E7E"/>
        </w:rPr>
      </w:pPr>
    </w:p>
    <w:p w14:paraId="702A9FEE" w14:textId="59858CDE" w:rsidR="000405A3" w:rsidRDefault="006E6B9A" w:rsidP="000405A3">
      <w:pPr>
        <w:pStyle w:val="BodyText"/>
        <w:spacing w:line="360" w:lineRule="auto"/>
        <w:ind w:left="100" w:right="101"/>
        <w:jc w:val="both"/>
        <w:rPr>
          <w:b/>
          <w:color w:val="E68800"/>
          <w:sz w:val="24"/>
        </w:rPr>
      </w:pPr>
      <w:r w:rsidRPr="006E6B9A">
        <w:rPr>
          <w:color w:val="7E7E7E"/>
        </w:rPr>
        <w:t>Kevin has been a panelist or moderator at numerous industry conferences around the country including Perrin Conferences, Defense Research Institute, Defense Asbestos Litigation Seminar, and the Claims and Litigation Management Alliance covering the insurer perspective on asbestos litigation, settlement and negotiation strategies, and issues with the New York City Asbestos Litigation (NYCAL) discovery process.</w:t>
      </w:r>
    </w:p>
    <w:p w14:paraId="745ED67D" w14:textId="71EC9BB3" w:rsidR="000405A3" w:rsidRDefault="006E6B9A" w:rsidP="000405A3">
      <w:pPr>
        <w:spacing w:before="199"/>
        <w:ind w:left="1440"/>
        <w:rPr>
          <w:b/>
          <w:sz w:val="24"/>
        </w:rPr>
      </w:pPr>
      <w:r w:rsidRPr="006E6B9A">
        <w:rPr>
          <w:b/>
          <w:noProof/>
          <w:color w:val="E68800"/>
          <w:sz w:val="24"/>
        </w:rPr>
        <w:drawing>
          <wp:inline distT="0" distB="0" distL="0" distR="0" wp14:anchorId="790EC194" wp14:editId="3F1BF72C">
            <wp:extent cx="897142" cy="560690"/>
            <wp:effectExtent l="0" t="0" r="0" b="0"/>
            <wp:docPr id="987875267" name="Picture 38" descr="Noah Oliph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ah Oliphan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12046" cy="570004"/>
                    </a:xfrm>
                    <a:prstGeom prst="rect">
                      <a:avLst/>
                    </a:prstGeom>
                    <a:noFill/>
                    <a:ln>
                      <a:noFill/>
                    </a:ln>
                  </pic:spPr>
                </pic:pic>
              </a:graphicData>
            </a:graphic>
          </wp:inline>
        </w:drawing>
      </w:r>
      <w:r w:rsidRPr="006E6B9A">
        <w:rPr>
          <w:b/>
          <w:color w:val="E68800"/>
          <w:sz w:val="24"/>
        </w:rPr>
        <w:t xml:space="preserve"> </w:t>
      </w:r>
      <w:r w:rsidR="000405A3">
        <w:rPr>
          <w:b/>
          <w:color w:val="E68800"/>
          <w:sz w:val="24"/>
        </w:rPr>
        <w:t>Noah Oliphant -</w:t>
      </w:r>
      <w:r w:rsidR="000405A3" w:rsidRPr="000405A3">
        <w:rPr>
          <w:b/>
          <w:color w:val="E68800"/>
          <w:sz w:val="24"/>
        </w:rPr>
        <w:t xml:space="preserve"> </w:t>
      </w:r>
      <w:r w:rsidR="000405A3">
        <w:rPr>
          <w:b/>
          <w:color w:val="E68800"/>
          <w:sz w:val="24"/>
        </w:rPr>
        <w:t>Co-Founder</w:t>
      </w:r>
      <w:r w:rsidR="000405A3" w:rsidRPr="000405A3">
        <w:rPr>
          <w:b/>
          <w:color w:val="E68800"/>
          <w:sz w:val="24"/>
        </w:rPr>
        <w:t xml:space="preserve"> </w:t>
      </w:r>
      <w:r w:rsidR="000405A3">
        <w:rPr>
          <w:b/>
          <w:color w:val="E68800"/>
          <w:sz w:val="24"/>
        </w:rPr>
        <w:t>and</w:t>
      </w:r>
      <w:r w:rsidR="000405A3" w:rsidRPr="000405A3">
        <w:rPr>
          <w:b/>
          <w:color w:val="E68800"/>
          <w:sz w:val="24"/>
        </w:rPr>
        <w:t xml:space="preserve"> </w:t>
      </w:r>
      <w:r w:rsidR="000405A3">
        <w:rPr>
          <w:b/>
          <w:color w:val="E68800"/>
          <w:sz w:val="24"/>
        </w:rPr>
        <w:t>CTO</w:t>
      </w:r>
    </w:p>
    <w:p w14:paraId="1C3C5583" w14:textId="755780F4" w:rsidR="000405A3" w:rsidRDefault="000405A3" w:rsidP="000405A3">
      <w:pPr>
        <w:tabs>
          <w:tab w:val="left" w:pos="1560"/>
        </w:tabs>
        <w:rPr>
          <w:color w:val="7E7E7E"/>
        </w:rPr>
      </w:pPr>
    </w:p>
    <w:p w14:paraId="64DB1476" w14:textId="77777777" w:rsidR="006E6B9A" w:rsidRDefault="006E6B9A" w:rsidP="006E6B9A">
      <w:pPr>
        <w:pStyle w:val="BodyText"/>
        <w:spacing w:line="360" w:lineRule="auto"/>
        <w:ind w:left="100" w:right="101"/>
        <w:jc w:val="both"/>
        <w:rPr>
          <w:color w:val="7E7E7E"/>
        </w:rPr>
      </w:pPr>
      <w:r w:rsidRPr="006E6B9A">
        <w:rPr>
          <w:color w:val="7E7E7E"/>
        </w:rPr>
        <w:t>Noah Oliphant serves as Chief Technology Officer and Chief Information Officer for The Cook Group. He has worked in IT for over 20 years and has deep expertise in a wide range of technologies including Cloud Computing, Cloud Infrastructure, Security, Compliance, System Integration, and Custom Software Development.</w:t>
      </w:r>
    </w:p>
    <w:p w14:paraId="472082C8" w14:textId="77777777" w:rsidR="00E26442" w:rsidRPr="006E6B9A" w:rsidRDefault="00E26442" w:rsidP="006E6B9A">
      <w:pPr>
        <w:pStyle w:val="BodyText"/>
        <w:spacing w:line="360" w:lineRule="auto"/>
        <w:ind w:left="100" w:right="101"/>
        <w:jc w:val="both"/>
        <w:rPr>
          <w:color w:val="7E7E7E"/>
        </w:rPr>
      </w:pPr>
    </w:p>
    <w:p w14:paraId="397BF554" w14:textId="4B23D84A" w:rsidR="000405A3" w:rsidRDefault="006E6B9A" w:rsidP="00E26442">
      <w:pPr>
        <w:pStyle w:val="BodyText"/>
        <w:spacing w:line="360" w:lineRule="auto"/>
        <w:ind w:left="100" w:right="101"/>
        <w:jc w:val="both"/>
      </w:pPr>
      <w:commentRangeStart w:id="5"/>
      <w:r w:rsidRPr="006E6B9A">
        <w:rPr>
          <w:color w:val="7E7E7E"/>
        </w:rPr>
        <w:t>Noah worked closely with other employees at The Cook Group to design and implement a custom and proprietary Workflow Application that includes modules for Matter Intake, Document Discovery and Full Text Search, Matter Management, Settlement Tracking, Trial Management, Billing, Invoicing, and other operational functions.His focus is providing modern, efficient, and secure technology solutions to The Cook Group.</w:t>
      </w:r>
      <w:commentRangeEnd w:id="5"/>
      <w:r w:rsidR="00E26442">
        <w:rPr>
          <w:rStyle w:val="CommentReference"/>
          <w:sz w:val="22"/>
          <w:szCs w:val="22"/>
        </w:rPr>
        <w:commentReference w:id="5"/>
      </w:r>
    </w:p>
    <w:p w14:paraId="45D7F387" w14:textId="2423F66D" w:rsidR="000405A3" w:rsidRDefault="006E6B9A" w:rsidP="00900872">
      <w:pPr>
        <w:spacing w:before="199"/>
        <w:ind w:left="1440"/>
        <w:rPr>
          <w:b/>
          <w:color w:val="E68800"/>
          <w:sz w:val="24"/>
        </w:rPr>
      </w:pPr>
      <w:r w:rsidRPr="006E6B9A">
        <w:rPr>
          <w:b/>
          <w:noProof/>
          <w:color w:val="E68800"/>
          <w:sz w:val="24"/>
        </w:rPr>
        <w:drawing>
          <wp:inline distT="0" distB="0" distL="0" distR="0" wp14:anchorId="658BF29D" wp14:editId="424E9C84">
            <wp:extent cx="925033" cy="578121"/>
            <wp:effectExtent l="0" t="0" r="8890" b="0"/>
            <wp:docPr id="1740981808" name="Picture 49" descr="Campbell Ran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ampbell Ranki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44762" cy="590451"/>
                    </a:xfrm>
                    <a:prstGeom prst="rect">
                      <a:avLst/>
                    </a:prstGeom>
                    <a:noFill/>
                    <a:ln>
                      <a:noFill/>
                    </a:ln>
                  </pic:spPr>
                </pic:pic>
              </a:graphicData>
            </a:graphic>
          </wp:inline>
        </w:drawing>
      </w:r>
      <w:r w:rsidRPr="006E6B9A">
        <w:rPr>
          <w:b/>
          <w:color w:val="E68800"/>
          <w:sz w:val="24"/>
        </w:rPr>
        <w:t xml:space="preserve"> </w:t>
      </w:r>
      <w:r w:rsidR="000405A3">
        <w:rPr>
          <w:b/>
          <w:color w:val="E68800"/>
          <w:sz w:val="24"/>
        </w:rPr>
        <w:t>Campbell Rankin -</w:t>
      </w:r>
      <w:r w:rsidR="000405A3" w:rsidRPr="000405A3">
        <w:rPr>
          <w:b/>
          <w:color w:val="E68800"/>
          <w:sz w:val="24"/>
        </w:rPr>
        <w:t xml:space="preserve"> </w:t>
      </w:r>
      <w:r w:rsidR="000405A3">
        <w:rPr>
          <w:b/>
          <w:color w:val="E68800"/>
          <w:sz w:val="24"/>
        </w:rPr>
        <w:t>Co-Founder</w:t>
      </w:r>
      <w:r w:rsidR="000405A3" w:rsidRPr="000405A3">
        <w:rPr>
          <w:b/>
          <w:color w:val="E68800"/>
          <w:sz w:val="24"/>
        </w:rPr>
        <w:t xml:space="preserve"> </w:t>
      </w:r>
      <w:r w:rsidR="000405A3">
        <w:rPr>
          <w:b/>
          <w:color w:val="E68800"/>
          <w:sz w:val="24"/>
        </w:rPr>
        <w:t>and</w:t>
      </w:r>
      <w:r w:rsidR="000405A3" w:rsidRPr="000405A3">
        <w:rPr>
          <w:b/>
          <w:color w:val="E68800"/>
          <w:sz w:val="24"/>
        </w:rPr>
        <w:t xml:space="preserve"> </w:t>
      </w:r>
      <w:r w:rsidR="000405A3">
        <w:rPr>
          <w:b/>
          <w:color w:val="E68800"/>
          <w:sz w:val="24"/>
        </w:rPr>
        <w:t>C</w:t>
      </w:r>
      <w:r w:rsidR="00313BB2">
        <w:rPr>
          <w:b/>
          <w:color w:val="E68800"/>
          <w:sz w:val="24"/>
        </w:rPr>
        <w:t>F</w:t>
      </w:r>
      <w:r w:rsidR="000405A3">
        <w:rPr>
          <w:b/>
          <w:color w:val="E68800"/>
          <w:sz w:val="24"/>
        </w:rPr>
        <w:t>O</w:t>
      </w:r>
    </w:p>
    <w:p w14:paraId="704268BB" w14:textId="77777777" w:rsidR="000405A3" w:rsidRPr="000405A3" w:rsidRDefault="000405A3" w:rsidP="000405A3"/>
    <w:p w14:paraId="459D8C25" w14:textId="093EAEB9" w:rsidR="006E6B9A" w:rsidRDefault="006E6B9A" w:rsidP="006E6B9A">
      <w:pPr>
        <w:pStyle w:val="BodyText"/>
        <w:spacing w:line="360" w:lineRule="auto"/>
        <w:ind w:left="100" w:right="101"/>
        <w:jc w:val="both"/>
        <w:rPr>
          <w:color w:val="7E7E7E"/>
        </w:rPr>
      </w:pPr>
      <w:r w:rsidRPr="006E6B9A">
        <w:rPr>
          <w:color w:val="7E7E7E"/>
        </w:rPr>
        <w:t xml:space="preserve">Campbell Rankin serves as Chief Financial Officer for The Cook Group New York office. He has worked in Finance and Commercial Real Estate for over 20 years and is excited to bring that expertise to </w:t>
      </w:r>
      <w:r w:rsidR="00C60FEF">
        <w:rPr>
          <w:color w:val="7E7E7E"/>
        </w:rPr>
        <w:t>Cook Group Analytics</w:t>
      </w:r>
      <w:r w:rsidRPr="006E6B9A">
        <w:rPr>
          <w:color w:val="7E7E7E"/>
        </w:rPr>
        <w:t>.</w:t>
      </w:r>
    </w:p>
    <w:p w14:paraId="345F6ABA" w14:textId="77777777" w:rsidR="00E26442" w:rsidRPr="006E6B9A" w:rsidRDefault="00E26442" w:rsidP="006E6B9A">
      <w:pPr>
        <w:pStyle w:val="BodyText"/>
        <w:spacing w:line="360" w:lineRule="auto"/>
        <w:ind w:left="100" w:right="101"/>
        <w:jc w:val="both"/>
        <w:rPr>
          <w:color w:val="7E7E7E"/>
        </w:rPr>
      </w:pPr>
    </w:p>
    <w:p w14:paraId="48163A29" w14:textId="77777777" w:rsidR="006E6B9A" w:rsidRDefault="006E6B9A" w:rsidP="006E6B9A">
      <w:pPr>
        <w:pStyle w:val="BodyText"/>
        <w:spacing w:line="360" w:lineRule="auto"/>
        <w:ind w:left="100" w:right="101"/>
        <w:jc w:val="both"/>
        <w:rPr>
          <w:color w:val="7E7E7E"/>
        </w:rPr>
      </w:pPr>
      <w:r w:rsidRPr="006E6B9A">
        <w:rPr>
          <w:color w:val="7E7E7E"/>
        </w:rPr>
        <w:t>As an integral part of founding The Cook Group, Campbell organized the development of technology systems, establishing policies and procedures, securing insurance, securing Real Estate, and managing operations.</w:t>
      </w:r>
    </w:p>
    <w:p w14:paraId="486E506A" w14:textId="77777777" w:rsidR="00E26442" w:rsidRPr="006E6B9A" w:rsidRDefault="00E26442" w:rsidP="006E6B9A">
      <w:pPr>
        <w:pStyle w:val="BodyText"/>
        <w:spacing w:line="360" w:lineRule="auto"/>
        <w:ind w:left="100" w:right="101"/>
        <w:jc w:val="both"/>
        <w:rPr>
          <w:color w:val="7E7E7E"/>
        </w:rPr>
      </w:pPr>
    </w:p>
    <w:p w14:paraId="17C2251E" w14:textId="77777777" w:rsidR="006E6B9A" w:rsidRDefault="006E6B9A" w:rsidP="006E6B9A">
      <w:pPr>
        <w:pStyle w:val="BodyText"/>
        <w:spacing w:line="360" w:lineRule="auto"/>
        <w:ind w:left="100" w:right="101"/>
        <w:jc w:val="both"/>
        <w:rPr>
          <w:color w:val="7E7E7E"/>
        </w:rPr>
      </w:pPr>
      <w:r w:rsidRPr="006E6B9A">
        <w:rPr>
          <w:color w:val="7E7E7E"/>
        </w:rPr>
        <w:t>Campbell continues to run all non-legal functions, managing billing, AP, finance, real estate, collections, and payroll. His focus is driving efficiency and supporting the world class legal representation The Cook Group provides.</w:t>
      </w:r>
    </w:p>
    <w:p w14:paraId="19EFD9E0" w14:textId="77777777" w:rsidR="00900872" w:rsidRDefault="00900872">
      <w:pPr>
        <w:pStyle w:val="Heading1"/>
        <w:rPr>
          <w:color w:val="135B85"/>
        </w:rPr>
      </w:pPr>
    </w:p>
    <w:p w14:paraId="33CC6ACA" w14:textId="19E8FAF2" w:rsidR="005B4C58" w:rsidRDefault="00F86057">
      <w:pPr>
        <w:pStyle w:val="Heading1"/>
      </w:pPr>
      <w:r>
        <w:rPr>
          <w:color w:val="135B85"/>
        </w:rPr>
        <w:lastRenderedPageBreak/>
        <w:t>The</w:t>
      </w:r>
      <w:r>
        <w:rPr>
          <w:color w:val="135B85"/>
          <w:spacing w:val="-9"/>
        </w:rPr>
        <w:t xml:space="preserve"> </w:t>
      </w:r>
      <w:r>
        <w:rPr>
          <w:color w:val="135B85"/>
          <w:spacing w:val="-2"/>
        </w:rPr>
        <w:t>Product</w:t>
      </w:r>
    </w:p>
    <w:p w14:paraId="33CC6ACB" w14:textId="77777777" w:rsidR="005B4C58" w:rsidRDefault="00F86057">
      <w:pPr>
        <w:pStyle w:val="BodyText"/>
        <w:rPr>
          <w:b/>
          <w:sz w:val="16"/>
        </w:rPr>
      </w:pPr>
      <w:r>
        <w:rPr>
          <w:b/>
          <w:noProof/>
          <w:sz w:val="16"/>
        </w:rPr>
        <mc:AlternateContent>
          <mc:Choice Requires="wps">
            <w:drawing>
              <wp:anchor distT="0" distB="0" distL="0" distR="0" simplePos="0" relativeHeight="251656704" behindDoc="1" locked="0" layoutInCell="1" allowOverlap="1" wp14:anchorId="33CC6F0C" wp14:editId="33CC6F0D">
                <wp:simplePos x="0" y="0"/>
                <wp:positionH relativeFrom="page">
                  <wp:posOffset>1125016</wp:posOffset>
                </wp:positionH>
                <wp:positionV relativeFrom="paragraph">
                  <wp:posOffset>132226</wp:posOffset>
                </wp:positionV>
                <wp:extent cx="5312410" cy="1270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12700"/>
                        </a:xfrm>
                        <a:custGeom>
                          <a:avLst/>
                          <a:gdLst/>
                          <a:ahLst/>
                          <a:cxnLst/>
                          <a:rect l="l" t="t" r="r" b="b"/>
                          <a:pathLst>
                            <a:path w="5312410" h="12700">
                              <a:moveTo>
                                <a:pt x="5312029" y="0"/>
                              </a:moveTo>
                              <a:lnTo>
                                <a:pt x="0" y="0"/>
                              </a:lnTo>
                              <a:lnTo>
                                <a:pt x="0" y="12192"/>
                              </a:lnTo>
                              <a:lnTo>
                                <a:pt x="5312029" y="12192"/>
                              </a:lnTo>
                              <a:lnTo>
                                <a:pt x="5312029"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658B1F7D" id="Graphic 19" o:spid="_x0000_s1026" style="position:absolute;margin-left:88.6pt;margin-top:10.4pt;width:418.3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53124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" path="m5312029,l,,,12192r5312029,l5312029,xe" fillcolor="#585858" stroked="f">
                <v:path arrowok="t"/>
                <w10:wrap type="topAndBottom" anchorx="page"/>
              </v:shape>
            </w:pict>
          </mc:Fallback>
        </mc:AlternateContent>
      </w:r>
    </w:p>
    <w:p w14:paraId="33CC6ACC" w14:textId="77777777" w:rsidR="005B4C58" w:rsidRDefault="005B4C58">
      <w:pPr>
        <w:pStyle w:val="BodyText"/>
        <w:spacing w:before="25"/>
        <w:rPr>
          <w:b/>
        </w:rPr>
      </w:pPr>
    </w:p>
    <w:p w14:paraId="33CC6AF4" w14:textId="31CC535D" w:rsidR="005B4C58" w:rsidRDefault="008778E9" w:rsidP="008778E9">
      <w:pPr>
        <w:pStyle w:val="BodyText"/>
        <w:spacing w:before="199" w:line="360" w:lineRule="auto"/>
        <w:ind w:left="100" w:right="96"/>
        <w:jc w:val="both"/>
        <w:rPr>
          <w:color w:val="7E7E7E"/>
        </w:rPr>
      </w:pPr>
      <w:r>
        <w:rPr>
          <w:color w:val="7E7E7E"/>
        </w:rPr>
        <w:t xml:space="preserve">The guiding principle in designing The Cook Book was ease of use for attorneys. The volume of cases handled by a mass tort defense firm is an order of magnitude greater than what traditional law firms deal with. </w:t>
      </w:r>
      <w:r w:rsidR="003441F9">
        <w:rPr>
          <w:color w:val="7E7E7E"/>
        </w:rPr>
        <w:t>As a result, every mouse</w:t>
      </w:r>
      <w:r w:rsidR="006E6B9A">
        <w:rPr>
          <w:color w:val="7E7E7E"/>
        </w:rPr>
        <w:t>-</w:t>
      </w:r>
      <w:r w:rsidR="003441F9">
        <w:rPr>
          <w:color w:val="7E7E7E"/>
        </w:rPr>
        <w:t xml:space="preserve">click, every additional </w:t>
      </w:r>
      <w:r w:rsidR="006E6B9A">
        <w:rPr>
          <w:color w:val="7E7E7E"/>
        </w:rPr>
        <w:t xml:space="preserve">computer </w:t>
      </w:r>
      <w:r w:rsidR="003441F9">
        <w:rPr>
          <w:color w:val="7E7E7E"/>
        </w:rPr>
        <w:t xml:space="preserve">window, every new document </w:t>
      </w:r>
      <w:r w:rsidR="00C60FEF">
        <w:rPr>
          <w:color w:val="7E7E7E"/>
        </w:rPr>
        <w:t>search</w:t>
      </w:r>
      <w:r w:rsidR="003441F9">
        <w:rPr>
          <w:color w:val="7E7E7E"/>
        </w:rPr>
        <w:t xml:space="preserve"> becomes that much more important when trying to operate efficiently. Every resource that an attorney would need to intake, manage, litigate, and bill one or many claims is available in one place. </w:t>
      </w:r>
    </w:p>
    <w:p w14:paraId="4B13BFA7" w14:textId="77777777" w:rsidR="008778E9" w:rsidRDefault="008778E9" w:rsidP="008778E9">
      <w:pPr>
        <w:pStyle w:val="BodyText"/>
        <w:spacing w:before="199" w:line="360" w:lineRule="auto"/>
        <w:ind w:left="100" w:right="96"/>
        <w:jc w:val="both"/>
        <w:rPr>
          <w:color w:val="7E7E7E"/>
        </w:rPr>
      </w:pPr>
    </w:p>
    <w:p w14:paraId="1FF414E6" w14:textId="16FF224E" w:rsidR="008778E9" w:rsidRDefault="008778E9" w:rsidP="008778E9">
      <w:pPr>
        <w:pStyle w:val="BodyText"/>
        <w:spacing w:before="199" w:line="360" w:lineRule="auto"/>
        <w:ind w:left="100" w:right="96"/>
        <w:jc w:val="both"/>
        <w:rPr>
          <w:color w:val="7E7E7E"/>
        </w:rPr>
      </w:pPr>
      <w:r w:rsidRPr="008778E9">
        <w:rPr>
          <w:noProof/>
          <w:color w:val="7E7E7E"/>
        </w:rPr>
        <w:drawing>
          <wp:inline distT="0" distB="0" distL="0" distR="0" wp14:anchorId="54D3B5DE" wp14:editId="3DCFBA7C">
            <wp:extent cx="5949950" cy="2304415"/>
            <wp:effectExtent l="0" t="0" r="0" b="635"/>
            <wp:docPr id="100008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4133" name=""/>
                    <pic:cNvPicPr/>
                  </pic:nvPicPr>
                  <pic:blipFill>
                    <a:blip r:embed="rId25"/>
                    <a:stretch>
                      <a:fillRect/>
                    </a:stretch>
                  </pic:blipFill>
                  <pic:spPr>
                    <a:xfrm>
                      <a:off x="0" y="0"/>
                      <a:ext cx="5949950" cy="2304415"/>
                    </a:xfrm>
                    <a:prstGeom prst="rect">
                      <a:avLst/>
                    </a:prstGeom>
                  </pic:spPr>
                </pic:pic>
              </a:graphicData>
            </a:graphic>
          </wp:inline>
        </w:drawing>
      </w:r>
    </w:p>
    <w:p w14:paraId="19EE790C" w14:textId="41698BF1" w:rsidR="003441F9" w:rsidRDefault="00C60FEF" w:rsidP="00C60FEF">
      <w:pPr>
        <w:pStyle w:val="BodyText"/>
        <w:spacing w:before="199" w:line="360" w:lineRule="auto"/>
        <w:ind w:left="100" w:right="96"/>
        <w:jc w:val="center"/>
        <w:rPr>
          <w:color w:val="7E7E7E"/>
        </w:rPr>
      </w:pPr>
      <w:r w:rsidRPr="00C60FEF">
        <w:rPr>
          <w:color w:val="7E7E7E"/>
          <w:sz w:val="18"/>
          <w:szCs w:val="18"/>
        </w:rPr>
        <w:t>Attorney Dashboard</w:t>
      </w:r>
    </w:p>
    <w:p w14:paraId="64FF61D7" w14:textId="392D7B01" w:rsidR="004314A0" w:rsidRPr="003441F9" w:rsidRDefault="00E26442" w:rsidP="003441F9">
      <w:pPr>
        <w:pStyle w:val="BodyText"/>
        <w:spacing w:before="199" w:line="360" w:lineRule="auto"/>
        <w:ind w:left="100" w:right="96"/>
        <w:jc w:val="both"/>
        <w:rPr>
          <w:color w:val="7E7E7E"/>
        </w:rPr>
      </w:pPr>
      <w:r>
        <w:rPr>
          <w:color w:val="7E7E7E"/>
        </w:rPr>
        <w:t>D</w:t>
      </w:r>
      <w:r w:rsidR="003441F9">
        <w:rPr>
          <w:color w:val="7E7E7E"/>
        </w:rPr>
        <w:t>ue to the underlying organizational structure, each component is integrated with the other. For example, the case management screen below has direct access to the calendar (depositions</w:t>
      </w:r>
      <w:r w:rsidR="00A93FDA">
        <w:rPr>
          <w:color w:val="7E7E7E"/>
        </w:rPr>
        <w:t>, court appearances, etc.</w:t>
      </w:r>
      <w:r w:rsidR="003441F9">
        <w:rPr>
          <w:color w:val="7E7E7E"/>
        </w:rPr>
        <w:t xml:space="preserve">), billing (time entry), and documents (interrogatories). This seamless transition between the various tasks needed to manage claims makes every task faster and more accurate.  </w:t>
      </w:r>
    </w:p>
    <w:p w14:paraId="4A64559E" w14:textId="13F69450" w:rsidR="008778E9" w:rsidRDefault="008778E9" w:rsidP="00C60FEF">
      <w:pPr>
        <w:pStyle w:val="BodyText"/>
        <w:spacing w:before="61"/>
        <w:jc w:val="center"/>
        <w:rPr>
          <w:b/>
          <w:sz w:val="24"/>
        </w:rPr>
      </w:pPr>
      <w:r w:rsidRPr="008778E9">
        <w:rPr>
          <w:b/>
          <w:noProof/>
          <w:sz w:val="24"/>
        </w:rPr>
        <w:drawing>
          <wp:inline distT="0" distB="0" distL="0" distR="0" wp14:anchorId="75A48FCF" wp14:editId="1EB4AECD">
            <wp:extent cx="5178056" cy="1930304"/>
            <wp:effectExtent l="0" t="0" r="3810" b="0"/>
            <wp:docPr id="93802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29551" name=""/>
                    <pic:cNvPicPr/>
                  </pic:nvPicPr>
                  <pic:blipFill>
                    <a:blip r:embed="rId26"/>
                    <a:stretch>
                      <a:fillRect/>
                    </a:stretch>
                  </pic:blipFill>
                  <pic:spPr>
                    <a:xfrm>
                      <a:off x="0" y="0"/>
                      <a:ext cx="5195232" cy="1936707"/>
                    </a:xfrm>
                    <a:prstGeom prst="rect">
                      <a:avLst/>
                    </a:prstGeom>
                  </pic:spPr>
                </pic:pic>
              </a:graphicData>
            </a:graphic>
          </wp:inline>
        </w:drawing>
      </w:r>
    </w:p>
    <w:p w14:paraId="4D22D8D8" w14:textId="41D799D7" w:rsidR="008778E9" w:rsidRPr="008B15E9" w:rsidRDefault="008B15E9" w:rsidP="008B15E9">
      <w:pPr>
        <w:pStyle w:val="BodyText"/>
        <w:spacing w:before="199" w:line="360" w:lineRule="auto"/>
        <w:ind w:left="100" w:right="96"/>
        <w:jc w:val="center"/>
        <w:rPr>
          <w:color w:val="7E7E7E"/>
          <w:sz w:val="18"/>
          <w:szCs w:val="18"/>
        </w:rPr>
      </w:pPr>
      <w:r w:rsidRPr="008B15E9">
        <w:rPr>
          <w:color w:val="7E7E7E"/>
          <w:sz w:val="18"/>
          <w:szCs w:val="18"/>
        </w:rPr>
        <w:t>All systems work together</w:t>
      </w:r>
    </w:p>
    <w:p w14:paraId="243086C9" w14:textId="77777777" w:rsidR="008778E9" w:rsidRDefault="008778E9">
      <w:pPr>
        <w:pStyle w:val="BodyText"/>
        <w:spacing w:before="61"/>
        <w:rPr>
          <w:b/>
          <w:sz w:val="24"/>
        </w:rPr>
      </w:pPr>
    </w:p>
    <w:p w14:paraId="33CC6B04" w14:textId="77777777" w:rsidR="005B4C58" w:rsidRDefault="00F86057" w:rsidP="000405A3">
      <w:pPr>
        <w:pStyle w:val="Heading1"/>
        <w:ind w:left="0"/>
      </w:pPr>
      <w:bookmarkStart w:id="6" w:name="_bookmark5"/>
      <w:bookmarkEnd w:id="6"/>
      <w:r>
        <w:rPr>
          <w:color w:val="135B85"/>
        </w:rPr>
        <w:t>The</w:t>
      </w:r>
      <w:r>
        <w:rPr>
          <w:color w:val="135B85"/>
          <w:spacing w:val="-9"/>
        </w:rPr>
        <w:t xml:space="preserve"> </w:t>
      </w:r>
      <w:r>
        <w:rPr>
          <w:color w:val="135B85"/>
          <w:spacing w:val="-2"/>
        </w:rPr>
        <w:t>Market</w:t>
      </w:r>
    </w:p>
    <w:p w14:paraId="33CC6B05" w14:textId="77777777" w:rsidR="005B4C58" w:rsidRDefault="00F86057">
      <w:pPr>
        <w:pStyle w:val="BodyText"/>
        <w:rPr>
          <w:b/>
          <w:sz w:val="16"/>
        </w:rPr>
      </w:pPr>
      <w:r>
        <w:rPr>
          <w:b/>
          <w:noProof/>
          <w:sz w:val="16"/>
        </w:rPr>
        <mc:AlternateContent>
          <mc:Choice Requires="wps">
            <w:drawing>
              <wp:anchor distT="0" distB="0" distL="0" distR="0" simplePos="0" relativeHeight="251664896" behindDoc="1" locked="0" layoutInCell="1" allowOverlap="1" wp14:anchorId="33CC6F1E" wp14:editId="33CC6F1F">
                <wp:simplePos x="0" y="0"/>
                <wp:positionH relativeFrom="page">
                  <wp:posOffset>1125016</wp:posOffset>
                </wp:positionH>
                <wp:positionV relativeFrom="paragraph">
                  <wp:posOffset>132226</wp:posOffset>
                </wp:positionV>
                <wp:extent cx="5312410" cy="1270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12700"/>
                        </a:xfrm>
                        <a:custGeom>
                          <a:avLst/>
                          <a:gdLst/>
                          <a:ahLst/>
                          <a:cxnLst/>
                          <a:rect l="l" t="t" r="r" b="b"/>
                          <a:pathLst>
                            <a:path w="5312410" h="12700">
                              <a:moveTo>
                                <a:pt x="5312029" y="0"/>
                              </a:moveTo>
                              <a:lnTo>
                                <a:pt x="0" y="0"/>
                              </a:lnTo>
                              <a:lnTo>
                                <a:pt x="0" y="12192"/>
                              </a:lnTo>
                              <a:lnTo>
                                <a:pt x="5312029" y="12192"/>
                              </a:lnTo>
                              <a:lnTo>
                                <a:pt x="5312029"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7D1DB719" id="Graphic 45" o:spid="_x0000_s1026" style="position:absolute;margin-left:88.6pt;margin-top:10.4pt;width:418.3pt;height:1pt;z-index:-251651584;visibility:visible;mso-wrap-style:square;mso-wrap-distance-left:0;mso-wrap-distance-top:0;mso-wrap-distance-right:0;mso-wrap-distance-bottom:0;mso-position-horizontal:absolute;mso-position-horizontal-relative:page;mso-position-vertical:absolute;mso-position-vertical-relative:text;v-text-anchor:top" coordsize="53124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" path="m5312029,l,,,12192r5312029,l5312029,xe" fillcolor="#585858" stroked="f">
                <v:path arrowok="t"/>
                <w10:wrap type="topAndBottom" anchorx="page"/>
              </v:shape>
            </w:pict>
          </mc:Fallback>
        </mc:AlternateContent>
      </w:r>
    </w:p>
    <w:p w14:paraId="69B87506" w14:textId="3370240F" w:rsidR="004314A0" w:rsidRDefault="00D55BFB" w:rsidP="00D55BFB">
      <w:pPr>
        <w:pStyle w:val="BodyText"/>
        <w:spacing w:before="199" w:line="360" w:lineRule="auto"/>
        <w:ind w:left="100" w:right="96"/>
        <w:jc w:val="both"/>
        <w:rPr>
          <w:color w:val="7E7E7E"/>
        </w:rPr>
      </w:pPr>
      <w:r w:rsidRPr="00D55BFB">
        <w:rPr>
          <w:color w:val="7E7E7E"/>
        </w:rPr>
        <w:t>The Cook</w:t>
      </w:r>
      <w:r>
        <w:rPr>
          <w:color w:val="7E7E7E"/>
        </w:rPr>
        <w:t xml:space="preserve"> Book has no true competition. Every other piece of legal software available on the market was made first with traditional cases in </w:t>
      </w:r>
      <w:r w:rsidR="004314A0">
        <w:rPr>
          <w:color w:val="7E7E7E"/>
        </w:rPr>
        <w:t xml:space="preserve">mind and then adapted to mass tort litigation. There is no single solution to the complex needs of a law firm defending mass tort claims. The Cook Book was born from this glaring hole. Our software’s purpose-built nature not only allows for massive efficiency gains in our legal defense and law firm operations but also addresses the unique issue of passed-on costs in the asbestos litigation. As detailed above, the insurers and defense firms involved in asbestos litigation remain largely unchanged over time, even while the companies being defended changes. That means that passed-on costs from defense firms are wholly assumed by asbestos insurers, rather than spread out across multiple different litigation areas. The inefficiencies of having to use three separate software programs is too opaque to be observed in normal litigation. But in asbestos litigation, that triple-charging for software becomes patently obvious. The Cook Book addresses that redundancy while also making each separate software type more functional. </w:t>
      </w:r>
    </w:p>
    <w:p w14:paraId="37183F7C" w14:textId="77777777" w:rsidR="008B15E9" w:rsidRPr="00D55BFB" w:rsidRDefault="008B15E9" w:rsidP="00D55BFB">
      <w:pPr>
        <w:pStyle w:val="BodyText"/>
        <w:spacing w:before="199" w:line="360" w:lineRule="auto"/>
        <w:ind w:left="100" w:right="96"/>
        <w:jc w:val="both"/>
        <w:rPr>
          <w:color w:val="7E7E7E"/>
        </w:rPr>
      </w:pPr>
    </w:p>
    <w:p w14:paraId="5D9FCE48" w14:textId="77777777" w:rsidR="008778E9" w:rsidRPr="008B15E9" w:rsidRDefault="008778E9" w:rsidP="008B15E9">
      <w:pPr>
        <w:pStyle w:val="Heading1"/>
        <w:ind w:left="0"/>
        <w:rPr>
          <w:color w:val="135B85"/>
        </w:rPr>
      </w:pPr>
      <w:r>
        <w:rPr>
          <w:color w:val="135B85"/>
        </w:rPr>
        <w:t>Competitive</w:t>
      </w:r>
      <w:r w:rsidRPr="008B15E9">
        <w:rPr>
          <w:color w:val="135B85"/>
        </w:rPr>
        <w:t xml:space="preserve"> </w:t>
      </w:r>
      <w:r>
        <w:rPr>
          <w:color w:val="135B85"/>
        </w:rPr>
        <w:t>Edge</w:t>
      </w:r>
      <w:r w:rsidRPr="008B15E9">
        <w:rPr>
          <w:color w:val="135B85"/>
        </w:rPr>
        <w:t xml:space="preserve"> </w:t>
      </w:r>
      <w:r>
        <w:rPr>
          <w:color w:val="135B85"/>
        </w:rPr>
        <w:t>and</w:t>
      </w:r>
      <w:r w:rsidRPr="008B15E9">
        <w:rPr>
          <w:color w:val="135B85"/>
        </w:rPr>
        <w:t xml:space="preserve"> Differentiation</w:t>
      </w:r>
    </w:p>
    <w:p w14:paraId="33CC6B37" w14:textId="77777777" w:rsidR="005B4C58" w:rsidRDefault="00F86057">
      <w:pPr>
        <w:pStyle w:val="BodyText"/>
        <w:rPr>
          <w:b/>
          <w:sz w:val="16"/>
        </w:rPr>
      </w:pPr>
      <w:r>
        <w:rPr>
          <w:b/>
          <w:noProof/>
          <w:sz w:val="16"/>
        </w:rPr>
        <mc:AlternateContent>
          <mc:Choice Requires="wps">
            <w:drawing>
              <wp:anchor distT="0" distB="0" distL="0" distR="0" simplePos="0" relativeHeight="251668992" behindDoc="1" locked="0" layoutInCell="1" allowOverlap="1" wp14:anchorId="33CC6F26" wp14:editId="33CC6F27">
                <wp:simplePos x="0" y="0"/>
                <wp:positionH relativeFrom="page">
                  <wp:posOffset>1125016</wp:posOffset>
                </wp:positionH>
                <wp:positionV relativeFrom="paragraph">
                  <wp:posOffset>132226</wp:posOffset>
                </wp:positionV>
                <wp:extent cx="5312410" cy="1270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12700"/>
                        </a:xfrm>
                        <a:custGeom>
                          <a:avLst/>
                          <a:gdLst/>
                          <a:ahLst/>
                          <a:cxnLst/>
                          <a:rect l="l" t="t" r="r" b="b"/>
                          <a:pathLst>
                            <a:path w="5312410" h="12700">
                              <a:moveTo>
                                <a:pt x="5312029" y="0"/>
                              </a:moveTo>
                              <a:lnTo>
                                <a:pt x="0" y="0"/>
                              </a:lnTo>
                              <a:lnTo>
                                <a:pt x="0" y="12192"/>
                              </a:lnTo>
                              <a:lnTo>
                                <a:pt x="5312029" y="12192"/>
                              </a:lnTo>
                              <a:lnTo>
                                <a:pt x="5312029"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3BA256ED" id="Graphic 50" o:spid="_x0000_s1026" style="position:absolute;margin-left:88.6pt;margin-top:10.4pt;width:418.3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53124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" path="m5312029,l,,,12192r5312029,l5312029,xe" fillcolor="#585858" stroked="f">
                <v:path arrowok="t"/>
                <w10:wrap type="topAndBottom" anchorx="page"/>
              </v:shape>
            </w:pict>
          </mc:Fallback>
        </mc:AlternateContent>
      </w:r>
    </w:p>
    <w:p w14:paraId="33CC6B38" w14:textId="77777777" w:rsidR="005B4C58" w:rsidRDefault="005B4C58">
      <w:pPr>
        <w:pStyle w:val="BodyText"/>
        <w:spacing w:before="25"/>
        <w:rPr>
          <w:b/>
        </w:rPr>
      </w:pPr>
    </w:p>
    <w:p w14:paraId="685128F3" w14:textId="5BE97D7D" w:rsidR="008778E9" w:rsidRPr="008778E9" w:rsidRDefault="008778E9" w:rsidP="008778E9">
      <w:pPr>
        <w:pStyle w:val="BodyText"/>
        <w:spacing w:before="199" w:line="360" w:lineRule="auto"/>
        <w:ind w:left="100" w:right="96"/>
        <w:jc w:val="both"/>
        <w:rPr>
          <w:color w:val="7E7E7E"/>
        </w:rPr>
      </w:pPr>
      <w:r w:rsidRPr="00D55BFB">
        <w:rPr>
          <w:color w:val="7E7E7E"/>
        </w:rPr>
        <w:t>The Cook</w:t>
      </w:r>
      <w:r>
        <w:rPr>
          <w:color w:val="7E7E7E"/>
        </w:rPr>
        <w:t xml:space="preserve"> Book provides a clear value-proposition for law firms. Rather than paying for three pieces of software to defend and manage their mass tort claims, law firms will be able to rely on The Cook Book alone. </w:t>
      </w:r>
    </w:p>
    <w:p w14:paraId="33CC6B3A" w14:textId="77777777" w:rsidR="005B4C58" w:rsidRDefault="005B4C58">
      <w:pPr>
        <w:pStyle w:val="BodyText"/>
        <w:spacing w:before="7" w:after="1"/>
        <w:rPr>
          <w:sz w:val="17"/>
        </w:rPr>
      </w:pPr>
    </w:p>
    <w:tbl>
      <w:tblPr>
        <w:tblW w:w="9509" w:type="dxa"/>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CellMar>
          <w:left w:w="0" w:type="dxa"/>
          <w:right w:w="0" w:type="dxa"/>
        </w:tblCellMar>
        <w:tblLook w:val="01E0" w:firstRow="1" w:lastRow="1" w:firstColumn="1" w:lastColumn="1" w:noHBand="0" w:noVBand="0"/>
      </w:tblPr>
      <w:tblGrid>
        <w:gridCol w:w="1703"/>
        <w:gridCol w:w="1344"/>
        <w:gridCol w:w="1238"/>
        <w:gridCol w:w="1241"/>
        <w:gridCol w:w="1238"/>
        <w:gridCol w:w="1241"/>
        <w:gridCol w:w="1504"/>
      </w:tblGrid>
      <w:tr w:rsidR="005B4C58" w14:paraId="33CC6B42" w14:textId="77777777" w:rsidTr="008B15E9">
        <w:trPr>
          <w:trHeight w:val="651"/>
        </w:trPr>
        <w:tc>
          <w:tcPr>
            <w:tcW w:w="1703" w:type="dxa"/>
            <w:tcBorders>
              <w:top w:val="nil"/>
              <w:left w:val="nil"/>
            </w:tcBorders>
            <w:shd w:val="clear" w:color="auto" w:fill="1F487C"/>
          </w:tcPr>
          <w:p w14:paraId="33CC6B3B" w14:textId="5F7289DE" w:rsidR="005B4C58" w:rsidRDefault="005B4C58">
            <w:pPr>
              <w:pStyle w:val="TableParagraph"/>
              <w:jc w:val="left"/>
              <w:rPr>
                <w:rFonts w:ascii="Times New Roman"/>
              </w:rPr>
            </w:pPr>
          </w:p>
        </w:tc>
        <w:tc>
          <w:tcPr>
            <w:tcW w:w="1344" w:type="dxa"/>
            <w:tcBorders>
              <w:top w:val="nil"/>
            </w:tcBorders>
            <w:shd w:val="clear" w:color="auto" w:fill="1F487C"/>
          </w:tcPr>
          <w:p w14:paraId="33CC6B3C" w14:textId="00BF3727" w:rsidR="005B4C58" w:rsidRPr="00900872" w:rsidRDefault="00CD587D" w:rsidP="00D829D2">
            <w:pPr>
              <w:pStyle w:val="TableParagraph"/>
              <w:spacing w:before="98"/>
              <w:ind w:left="241" w:hanging="23"/>
              <w:jc w:val="left"/>
              <w:rPr>
                <w:bCs/>
                <w:color w:val="FFFFFF"/>
                <w:spacing w:val="-2"/>
              </w:rPr>
            </w:pPr>
            <w:r w:rsidRPr="00900872">
              <w:rPr>
                <w:bCs/>
                <w:color w:val="FFFFFF"/>
                <w:spacing w:val="-2"/>
              </w:rPr>
              <w:t>Juris</w:t>
            </w:r>
          </w:p>
        </w:tc>
        <w:tc>
          <w:tcPr>
            <w:tcW w:w="1238" w:type="dxa"/>
            <w:tcBorders>
              <w:top w:val="nil"/>
            </w:tcBorders>
            <w:shd w:val="clear" w:color="auto" w:fill="1F487C"/>
          </w:tcPr>
          <w:p w14:paraId="33CC6B3D" w14:textId="5C40E74F" w:rsidR="005B4C58" w:rsidRPr="00900872" w:rsidRDefault="00CD587D" w:rsidP="00304D64">
            <w:pPr>
              <w:pStyle w:val="TableParagraph"/>
              <w:spacing w:before="98"/>
              <w:ind w:left="241" w:hanging="23"/>
              <w:jc w:val="left"/>
              <w:rPr>
                <w:bCs/>
              </w:rPr>
            </w:pPr>
            <w:r w:rsidRPr="00900872">
              <w:rPr>
                <w:bCs/>
                <w:color w:val="FFFFFF"/>
                <w:spacing w:val="-2"/>
              </w:rPr>
              <w:t>Timeslips</w:t>
            </w:r>
          </w:p>
        </w:tc>
        <w:tc>
          <w:tcPr>
            <w:tcW w:w="1241" w:type="dxa"/>
            <w:tcBorders>
              <w:top w:val="nil"/>
            </w:tcBorders>
            <w:shd w:val="clear" w:color="auto" w:fill="1F487C"/>
          </w:tcPr>
          <w:p w14:paraId="33CC6B3E" w14:textId="20D4B353" w:rsidR="005B4C58" w:rsidRPr="00900872" w:rsidRDefault="00EF5FCD">
            <w:pPr>
              <w:pStyle w:val="TableParagraph"/>
              <w:spacing w:before="98"/>
              <w:ind w:left="278" w:hanging="92"/>
              <w:jc w:val="left"/>
              <w:rPr>
                <w:bCs/>
              </w:rPr>
            </w:pPr>
            <w:r w:rsidRPr="00900872">
              <w:rPr>
                <w:bCs/>
                <w:color w:val="FFFFFF"/>
                <w:spacing w:val="-2"/>
              </w:rPr>
              <w:t>World</w:t>
            </w:r>
            <w:r w:rsidR="00A93FDA">
              <w:rPr>
                <w:bCs/>
                <w:color w:val="FFFFFF"/>
                <w:spacing w:val="-2"/>
              </w:rPr>
              <w:t>ox</w:t>
            </w:r>
          </w:p>
        </w:tc>
        <w:tc>
          <w:tcPr>
            <w:tcW w:w="1238" w:type="dxa"/>
            <w:tcBorders>
              <w:top w:val="nil"/>
            </w:tcBorders>
            <w:shd w:val="clear" w:color="auto" w:fill="1F487C"/>
          </w:tcPr>
          <w:p w14:paraId="33CC6B3F" w14:textId="4DF07E83" w:rsidR="005B4C58" w:rsidRPr="00900872" w:rsidRDefault="00EF5FCD">
            <w:pPr>
              <w:pStyle w:val="TableParagraph"/>
              <w:spacing w:before="98"/>
              <w:ind w:left="310" w:right="303" w:firstLine="31"/>
              <w:jc w:val="left"/>
              <w:rPr>
                <w:bCs/>
              </w:rPr>
            </w:pPr>
            <w:r w:rsidRPr="00900872">
              <w:rPr>
                <w:bCs/>
                <w:color w:val="FFFFFF"/>
                <w:spacing w:val="-4"/>
              </w:rPr>
              <w:t>Claro</w:t>
            </w:r>
          </w:p>
        </w:tc>
        <w:tc>
          <w:tcPr>
            <w:tcW w:w="1241" w:type="dxa"/>
            <w:tcBorders>
              <w:top w:val="nil"/>
            </w:tcBorders>
            <w:shd w:val="clear" w:color="auto" w:fill="1F487C"/>
          </w:tcPr>
          <w:p w14:paraId="33CC6B40" w14:textId="3F67696D" w:rsidR="005B4C58" w:rsidRPr="00900872" w:rsidRDefault="00EF5FCD">
            <w:pPr>
              <w:pStyle w:val="TableParagraph"/>
              <w:spacing w:before="98"/>
              <w:ind w:left="279" w:hanging="116"/>
              <w:jc w:val="left"/>
              <w:rPr>
                <w:bCs/>
              </w:rPr>
            </w:pPr>
            <w:r w:rsidRPr="00900872">
              <w:rPr>
                <w:bCs/>
                <w:color w:val="FFFFFF"/>
                <w:spacing w:val="-2"/>
              </w:rPr>
              <w:t>KCIC</w:t>
            </w:r>
          </w:p>
        </w:tc>
        <w:tc>
          <w:tcPr>
            <w:tcW w:w="1504" w:type="dxa"/>
            <w:tcBorders>
              <w:top w:val="nil"/>
              <w:right w:val="nil"/>
            </w:tcBorders>
            <w:shd w:val="clear" w:color="auto" w:fill="1F487C"/>
          </w:tcPr>
          <w:p w14:paraId="33CC6B41" w14:textId="6B3B07F0" w:rsidR="005B4C58" w:rsidRDefault="00EF5FCD">
            <w:pPr>
              <w:pStyle w:val="TableParagraph"/>
              <w:spacing w:before="98"/>
              <w:ind w:left="325" w:right="187" w:hanging="140"/>
              <w:jc w:val="left"/>
              <w:rPr>
                <w:b/>
              </w:rPr>
            </w:pPr>
            <w:r w:rsidRPr="00900872">
              <w:rPr>
                <w:b/>
                <w:color w:val="FFFFFF"/>
                <w:sz w:val="24"/>
                <w:szCs w:val="24"/>
              </w:rPr>
              <w:t>The Cook Book</w:t>
            </w:r>
          </w:p>
        </w:tc>
      </w:tr>
      <w:tr w:rsidR="005B4C58" w14:paraId="33CC6B52" w14:textId="77777777" w:rsidTr="008B15E9">
        <w:trPr>
          <w:trHeight w:val="799"/>
        </w:trPr>
        <w:tc>
          <w:tcPr>
            <w:tcW w:w="1703" w:type="dxa"/>
            <w:tcBorders>
              <w:left w:val="nil"/>
            </w:tcBorders>
          </w:tcPr>
          <w:p w14:paraId="33CC6B4B" w14:textId="1324E1B9" w:rsidR="005B4C58" w:rsidRDefault="00FD616E">
            <w:pPr>
              <w:pStyle w:val="TableParagraph"/>
              <w:spacing w:before="69"/>
              <w:ind w:left="14"/>
              <w:jc w:val="left"/>
              <w:rPr>
                <w:b/>
              </w:rPr>
            </w:pPr>
            <w:r>
              <w:rPr>
                <w:b/>
                <w:color w:val="404040"/>
                <w:spacing w:val="-4"/>
              </w:rPr>
              <w:t>Billing</w:t>
            </w:r>
          </w:p>
        </w:tc>
        <w:tc>
          <w:tcPr>
            <w:tcW w:w="1344" w:type="dxa"/>
          </w:tcPr>
          <w:p w14:paraId="33CC6B4C" w14:textId="77777777" w:rsidR="005B4C58" w:rsidRDefault="00F86057">
            <w:pPr>
              <w:pStyle w:val="TableParagraph"/>
              <w:spacing w:before="124"/>
              <w:ind w:left="1" w:right="3"/>
              <w:rPr>
                <w:rFonts w:ascii="Wingdings" w:hAnsi="Wingdings"/>
                <w:b/>
                <w:sz w:val="36"/>
              </w:rPr>
            </w:pPr>
            <w:r>
              <w:rPr>
                <w:rFonts w:ascii="Wingdings" w:hAnsi="Wingdings"/>
                <w:b/>
                <w:color w:val="00A349"/>
                <w:spacing w:val="-10"/>
                <w:sz w:val="36"/>
              </w:rPr>
              <w:t></w:t>
            </w:r>
          </w:p>
        </w:tc>
        <w:tc>
          <w:tcPr>
            <w:tcW w:w="1238" w:type="dxa"/>
          </w:tcPr>
          <w:p w14:paraId="33CC6B4D" w14:textId="77777777" w:rsidR="005B4C58" w:rsidRDefault="00F86057">
            <w:pPr>
              <w:pStyle w:val="TableParagraph"/>
              <w:spacing w:before="124"/>
              <w:ind w:left="4" w:right="5"/>
              <w:rPr>
                <w:rFonts w:ascii="Wingdings" w:hAnsi="Wingdings"/>
                <w:b/>
                <w:sz w:val="36"/>
              </w:rPr>
            </w:pPr>
            <w:r>
              <w:rPr>
                <w:rFonts w:ascii="Wingdings" w:hAnsi="Wingdings"/>
                <w:b/>
                <w:color w:val="00A349"/>
                <w:spacing w:val="-10"/>
                <w:sz w:val="36"/>
              </w:rPr>
              <w:t></w:t>
            </w:r>
          </w:p>
        </w:tc>
        <w:tc>
          <w:tcPr>
            <w:tcW w:w="1241" w:type="dxa"/>
          </w:tcPr>
          <w:p w14:paraId="33CC6B4E" w14:textId="190BB7A3" w:rsidR="005B4C58" w:rsidRDefault="005349F5">
            <w:pPr>
              <w:pStyle w:val="TableParagraph"/>
              <w:spacing w:before="124"/>
              <w:ind w:left="1" w:right="2"/>
              <w:rPr>
                <w:rFonts w:ascii="Wingdings" w:hAnsi="Wingdings"/>
                <w:b/>
                <w:sz w:val="36"/>
              </w:rPr>
            </w:pPr>
            <w:r>
              <w:rPr>
                <w:b/>
                <w:color w:val="FF0000"/>
                <w:spacing w:val="-10"/>
                <w:sz w:val="36"/>
              </w:rPr>
              <w:t>X</w:t>
            </w:r>
          </w:p>
        </w:tc>
        <w:tc>
          <w:tcPr>
            <w:tcW w:w="1238" w:type="dxa"/>
          </w:tcPr>
          <w:p w14:paraId="33CC6B4F" w14:textId="5327AD2E" w:rsidR="005B4C58" w:rsidRDefault="005349F5">
            <w:pPr>
              <w:pStyle w:val="TableParagraph"/>
              <w:spacing w:before="124"/>
              <w:ind w:left="4" w:right="4"/>
              <w:rPr>
                <w:rFonts w:ascii="Wingdings" w:hAnsi="Wingdings"/>
                <w:b/>
                <w:sz w:val="36"/>
              </w:rPr>
            </w:pPr>
            <w:r>
              <w:rPr>
                <w:b/>
                <w:color w:val="FF0000"/>
                <w:spacing w:val="-10"/>
                <w:sz w:val="36"/>
              </w:rPr>
              <w:t>X</w:t>
            </w:r>
          </w:p>
        </w:tc>
        <w:tc>
          <w:tcPr>
            <w:tcW w:w="1241" w:type="dxa"/>
          </w:tcPr>
          <w:p w14:paraId="33CC6B50" w14:textId="083C4412" w:rsidR="005B4C58" w:rsidRDefault="005349F5">
            <w:pPr>
              <w:pStyle w:val="TableParagraph"/>
              <w:spacing w:before="124"/>
              <w:ind w:left="2" w:right="2"/>
              <w:rPr>
                <w:rFonts w:ascii="Wingdings" w:hAnsi="Wingdings"/>
                <w:b/>
                <w:sz w:val="36"/>
              </w:rPr>
            </w:pPr>
            <w:r>
              <w:rPr>
                <w:b/>
                <w:color w:val="FF0000"/>
                <w:spacing w:val="-10"/>
                <w:sz w:val="36"/>
              </w:rPr>
              <w:t>X</w:t>
            </w:r>
          </w:p>
        </w:tc>
        <w:tc>
          <w:tcPr>
            <w:tcW w:w="1504" w:type="dxa"/>
            <w:tcBorders>
              <w:right w:val="nil"/>
            </w:tcBorders>
            <w:shd w:val="clear" w:color="auto" w:fill="C5D9F0"/>
          </w:tcPr>
          <w:p w14:paraId="33CC6B51" w14:textId="3004BAD5" w:rsidR="005B4C58" w:rsidRDefault="005349F5">
            <w:pPr>
              <w:pStyle w:val="TableParagraph"/>
              <w:spacing w:before="113"/>
              <w:ind w:left="6" w:right="12"/>
              <w:rPr>
                <w:b/>
                <w:sz w:val="36"/>
              </w:rPr>
            </w:pPr>
            <w:r>
              <w:rPr>
                <w:rFonts w:ascii="Wingdings" w:hAnsi="Wingdings"/>
                <w:b/>
                <w:color w:val="00A349"/>
                <w:spacing w:val="-10"/>
                <w:sz w:val="36"/>
              </w:rPr>
              <w:t></w:t>
            </w:r>
          </w:p>
        </w:tc>
      </w:tr>
      <w:tr w:rsidR="00FD616E" w14:paraId="6BE88882" w14:textId="77777777" w:rsidTr="008B15E9">
        <w:trPr>
          <w:trHeight w:val="799"/>
        </w:trPr>
        <w:tc>
          <w:tcPr>
            <w:tcW w:w="1703" w:type="dxa"/>
            <w:tcBorders>
              <w:left w:val="nil"/>
            </w:tcBorders>
          </w:tcPr>
          <w:p w14:paraId="0C22059F" w14:textId="724E45A1" w:rsidR="00FD616E" w:rsidRDefault="00FD616E">
            <w:pPr>
              <w:pStyle w:val="TableParagraph"/>
              <w:spacing w:before="69"/>
              <w:ind w:left="14"/>
              <w:jc w:val="left"/>
              <w:rPr>
                <w:b/>
                <w:color w:val="404040"/>
                <w:spacing w:val="-4"/>
              </w:rPr>
            </w:pPr>
            <w:r>
              <w:rPr>
                <w:b/>
                <w:color w:val="404040"/>
                <w:spacing w:val="-4"/>
              </w:rPr>
              <w:t>Document Management</w:t>
            </w:r>
          </w:p>
        </w:tc>
        <w:tc>
          <w:tcPr>
            <w:tcW w:w="1344" w:type="dxa"/>
          </w:tcPr>
          <w:p w14:paraId="103E6714" w14:textId="0B0C1346" w:rsidR="00FD616E" w:rsidRDefault="005349F5">
            <w:pPr>
              <w:pStyle w:val="TableParagraph"/>
              <w:spacing w:before="124"/>
              <w:ind w:left="1" w:right="3"/>
              <w:rPr>
                <w:rFonts w:ascii="Wingdings" w:hAnsi="Wingdings"/>
                <w:b/>
                <w:color w:val="00A349"/>
                <w:spacing w:val="-10"/>
                <w:sz w:val="36"/>
              </w:rPr>
            </w:pPr>
            <w:r>
              <w:rPr>
                <w:b/>
                <w:color w:val="FF0000"/>
                <w:spacing w:val="-10"/>
                <w:sz w:val="36"/>
              </w:rPr>
              <w:t>X</w:t>
            </w:r>
          </w:p>
        </w:tc>
        <w:tc>
          <w:tcPr>
            <w:tcW w:w="1238" w:type="dxa"/>
          </w:tcPr>
          <w:p w14:paraId="4505143A" w14:textId="694C28C3" w:rsidR="00FD616E" w:rsidRDefault="005349F5">
            <w:pPr>
              <w:pStyle w:val="TableParagraph"/>
              <w:spacing w:before="124"/>
              <w:ind w:left="4" w:right="5"/>
              <w:rPr>
                <w:rFonts w:ascii="Wingdings" w:hAnsi="Wingdings"/>
                <w:b/>
                <w:color w:val="00A349"/>
                <w:spacing w:val="-10"/>
                <w:sz w:val="36"/>
              </w:rPr>
            </w:pPr>
            <w:r>
              <w:rPr>
                <w:b/>
                <w:color w:val="FF0000"/>
                <w:spacing w:val="-10"/>
                <w:sz w:val="36"/>
              </w:rPr>
              <w:t>X</w:t>
            </w:r>
          </w:p>
        </w:tc>
        <w:tc>
          <w:tcPr>
            <w:tcW w:w="1241" w:type="dxa"/>
          </w:tcPr>
          <w:p w14:paraId="6EE5C41E" w14:textId="2A7EE2FF" w:rsidR="00FD616E" w:rsidRDefault="00C45838">
            <w:pPr>
              <w:pStyle w:val="TableParagraph"/>
              <w:spacing w:before="124"/>
              <w:ind w:left="1" w:right="2"/>
              <w:rPr>
                <w:rFonts w:ascii="Wingdings" w:hAnsi="Wingdings"/>
                <w:b/>
                <w:color w:val="00A349"/>
                <w:spacing w:val="-10"/>
                <w:sz w:val="36"/>
              </w:rPr>
            </w:pPr>
            <w:r>
              <w:rPr>
                <w:rFonts w:ascii="Wingdings" w:hAnsi="Wingdings"/>
                <w:b/>
                <w:color w:val="00A349"/>
                <w:spacing w:val="-10"/>
                <w:sz w:val="36"/>
              </w:rPr>
              <w:t></w:t>
            </w:r>
          </w:p>
        </w:tc>
        <w:tc>
          <w:tcPr>
            <w:tcW w:w="1238" w:type="dxa"/>
          </w:tcPr>
          <w:p w14:paraId="7FA1A4F0" w14:textId="29C4B3DB" w:rsidR="00FD616E" w:rsidRDefault="005349F5">
            <w:pPr>
              <w:pStyle w:val="TableParagraph"/>
              <w:spacing w:before="124"/>
              <w:ind w:left="4" w:right="4"/>
              <w:rPr>
                <w:rFonts w:ascii="Wingdings" w:hAnsi="Wingdings"/>
                <w:b/>
                <w:color w:val="00A349"/>
                <w:spacing w:val="-10"/>
                <w:sz w:val="36"/>
              </w:rPr>
            </w:pPr>
            <w:r>
              <w:rPr>
                <w:b/>
                <w:color w:val="FF0000"/>
                <w:spacing w:val="-10"/>
                <w:sz w:val="36"/>
              </w:rPr>
              <w:t>X</w:t>
            </w:r>
          </w:p>
        </w:tc>
        <w:tc>
          <w:tcPr>
            <w:tcW w:w="1241" w:type="dxa"/>
          </w:tcPr>
          <w:p w14:paraId="774176B5" w14:textId="7A34AB6D" w:rsidR="00FD616E" w:rsidRDefault="005349F5">
            <w:pPr>
              <w:pStyle w:val="TableParagraph"/>
              <w:spacing w:before="124"/>
              <w:ind w:left="2" w:right="2"/>
              <w:rPr>
                <w:rFonts w:ascii="Wingdings" w:hAnsi="Wingdings"/>
                <w:b/>
                <w:color w:val="00A349"/>
                <w:spacing w:val="-10"/>
                <w:sz w:val="36"/>
              </w:rPr>
            </w:pPr>
            <w:r>
              <w:rPr>
                <w:b/>
                <w:color w:val="FF0000"/>
                <w:spacing w:val="-10"/>
                <w:sz w:val="36"/>
              </w:rPr>
              <w:t>X</w:t>
            </w:r>
          </w:p>
        </w:tc>
        <w:tc>
          <w:tcPr>
            <w:tcW w:w="1504" w:type="dxa"/>
            <w:tcBorders>
              <w:right w:val="nil"/>
            </w:tcBorders>
            <w:shd w:val="clear" w:color="auto" w:fill="C5D9F0"/>
          </w:tcPr>
          <w:p w14:paraId="2573F0C5" w14:textId="40804B88" w:rsidR="00FD616E" w:rsidRDefault="005349F5">
            <w:pPr>
              <w:pStyle w:val="TableParagraph"/>
              <w:spacing w:before="113"/>
              <w:ind w:left="6" w:right="12"/>
              <w:rPr>
                <w:b/>
                <w:color w:val="FF0000"/>
                <w:spacing w:val="-10"/>
                <w:sz w:val="36"/>
              </w:rPr>
            </w:pPr>
            <w:r>
              <w:rPr>
                <w:rFonts w:ascii="Wingdings" w:hAnsi="Wingdings"/>
                <w:b/>
                <w:color w:val="00A349"/>
                <w:spacing w:val="-10"/>
                <w:sz w:val="36"/>
              </w:rPr>
              <w:t></w:t>
            </w:r>
          </w:p>
        </w:tc>
      </w:tr>
      <w:tr w:rsidR="00FD616E" w14:paraId="3858A37C" w14:textId="77777777" w:rsidTr="008B15E9">
        <w:trPr>
          <w:trHeight w:val="799"/>
        </w:trPr>
        <w:tc>
          <w:tcPr>
            <w:tcW w:w="1703" w:type="dxa"/>
            <w:tcBorders>
              <w:left w:val="nil"/>
            </w:tcBorders>
          </w:tcPr>
          <w:p w14:paraId="2C3E7F9D" w14:textId="79A2CC9E" w:rsidR="00FD616E" w:rsidRDefault="003B44AE">
            <w:pPr>
              <w:pStyle w:val="TableParagraph"/>
              <w:spacing w:before="69"/>
              <w:ind w:left="14"/>
              <w:jc w:val="left"/>
              <w:rPr>
                <w:b/>
                <w:color w:val="404040"/>
                <w:spacing w:val="-4"/>
              </w:rPr>
            </w:pPr>
            <w:r>
              <w:rPr>
                <w:b/>
                <w:color w:val="404040"/>
                <w:spacing w:val="-4"/>
              </w:rPr>
              <w:t>Case Management</w:t>
            </w:r>
          </w:p>
        </w:tc>
        <w:tc>
          <w:tcPr>
            <w:tcW w:w="1344" w:type="dxa"/>
          </w:tcPr>
          <w:p w14:paraId="74B2629A" w14:textId="51A170C1" w:rsidR="00FD616E" w:rsidRDefault="005349F5">
            <w:pPr>
              <w:pStyle w:val="TableParagraph"/>
              <w:spacing w:before="124"/>
              <w:ind w:left="1" w:right="3"/>
              <w:rPr>
                <w:rFonts w:ascii="Wingdings" w:hAnsi="Wingdings"/>
                <w:b/>
                <w:color w:val="00A349"/>
                <w:spacing w:val="-10"/>
                <w:sz w:val="36"/>
              </w:rPr>
            </w:pPr>
            <w:r>
              <w:rPr>
                <w:b/>
                <w:color w:val="FF0000"/>
                <w:spacing w:val="-10"/>
                <w:sz w:val="36"/>
              </w:rPr>
              <w:t>X</w:t>
            </w:r>
          </w:p>
        </w:tc>
        <w:tc>
          <w:tcPr>
            <w:tcW w:w="1238" w:type="dxa"/>
          </w:tcPr>
          <w:p w14:paraId="7A7DB377" w14:textId="396F7534" w:rsidR="00FD616E" w:rsidRDefault="005349F5">
            <w:pPr>
              <w:pStyle w:val="TableParagraph"/>
              <w:spacing w:before="124"/>
              <w:ind w:left="4" w:right="5"/>
              <w:rPr>
                <w:rFonts w:ascii="Wingdings" w:hAnsi="Wingdings"/>
                <w:b/>
                <w:color w:val="00A349"/>
                <w:spacing w:val="-10"/>
                <w:sz w:val="36"/>
              </w:rPr>
            </w:pPr>
            <w:r>
              <w:rPr>
                <w:b/>
                <w:color w:val="FF0000"/>
                <w:spacing w:val="-10"/>
                <w:sz w:val="36"/>
              </w:rPr>
              <w:t>X</w:t>
            </w:r>
          </w:p>
        </w:tc>
        <w:tc>
          <w:tcPr>
            <w:tcW w:w="1241" w:type="dxa"/>
          </w:tcPr>
          <w:p w14:paraId="435AD072" w14:textId="03F0249C" w:rsidR="00FD616E" w:rsidRDefault="005349F5">
            <w:pPr>
              <w:pStyle w:val="TableParagraph"/>
              <w:spacing w:before="124"/>
              <w:ind w:left="1" w:right="2"/>
              <w:rPr>
                <w:rFonts w:ascii="Wingdings" w:hAnsi="Wingdings"/>
                <w:b/>
                <w:color w:val="00A349"/>
                <w:spacing w:val="-10"/>
                <w:sz w:val="36"/>
              </w:rPr>
            </w:pPr>
            <w:r>
              <w:rPr>
                <w:b/>
                <w:color w:val="FF0000"/>
                <w:spacing w:val="-10"/>
                <w:sz w:val="36"/>
              </w:rPr>
              <w:t>X</w:t>
            </w:r>
          </w:p>
        </w:tc>
        <w:tc>
          <w:tcPr>
            <w:tcW w:w="1238" w:type="dxa"/>
          </w:tcPr>
          <w:p w14:paraId="0DFB74C4" w14:textId="630DA875" w:rsidR="00FD616E" w:rsidRDefault="00C45838">
            <w:pPr>
              <w:pStyle w:val="TableParagraph"/>
              <w:spacing w:before="124"/>
              <w:ind w:left="4" w:right="4"/>
              <w:rPr>
                <w:rFonts w:ascii="Wingdings" w:hAnsi="Wingdings"/>
                <w:b/>
                <w:color w:val="00A349"/>
                <w:spacing w:val="-10"/>
                <w:sz w:val="36"/>
              </w:rPr>
            </w:pPr>
            <w:r>
              <w:rPr>
                <w:rFonts w:ascii="Wingdings" w:hAnsi="Wingdings"/>
                <w:b/>
                <w:color w:val="00A349"/>
                <w:spacing w:val="-10"/>
                <w:sz w:val="36"/>
              </w:rPr>
              <w:t></w:t>
            </w:r>
          </w:p>
        </w:tc>
        <w:tc>
          <w:tcPr>
            <w:tcW w:w="1241" w:type="dxa"/>
          </w:tcPr>
          <w:p w14:paraId="02BB4465" w14:textId="1E046AB8" w:rsidR="00FD616E" w:rsidRDefault="00C45838">
            <w:pPr>
              <w:pStyle w:val="TableParagraph"/>
              <w:spacing w:before="124"/>
              <w:ind w:left="2" w:right="2"/>
              <w:rPr>
                <w:rFonts w:ascii="Wingdings" w:hAnsi="Wingdings"/>
                <w:b/>
                <w:color w:val="00A349"/>
                <w:spacing w:val="-10"/>
                <w:sz w:val="36"/>
              </w:rPr>
            </w:pPr>
            <w:r>
              <w:rPr>
                <w:rFonts w:ascii="Wingdings" w:hAnsi="Wingdings"/>
                <w:b/>
                <w:color w:val="00A349"/>
                <w:spacing w:val="-10"/>
                <w:sz w:val="36"/>
              </w:rPr>
              <w:t></w:t>
            </w:r>
          </w:p>
        </w:tc>
        <w:tc>
          <w:tcPr>
            <w:tcW w:w="1504" w:type="dxa"/>
            <w:tcBorders>
              <w:right w:val="nil"/>
            </w:tcBorders>
            <w:shd w:val="clear" w:color="auto" w:fill="C5D9F0"/>
          </w:tcPr>
          <w:p w14:paraId="653B8B37" w14:textId="14DE6532" w:rsidR="00FD616E" w:rsidRDefault="005349F5">
            <w:pPr>
              <w:pStyle w:val="TableParagraph"/>
              <w:spacing w:before="113"/>
              <w:ind w:left="6" w:right="12"/>
              <w:rPr>
                <w:b/>
                <w:color w:val="FF0000"/>
                <w:spacing w:val="-10"/>
                <w:sz w:val="36"/>
              </w:rPr>
            </w:pPr>
            <w:r>
              <w:rPr>
                <w:rFonts w:ascii="Wingdings" w:hAnsi="Wingdings"/>
                <w:b/>
                <w:color w:val="00A349"/>
                <w:spacing w:val="-10"/>
                <w:sz w:val="36"/>
              </w:rPr>
              <w:t></w:t>
            </w:r>
          </w:p>
        </w:tc>
      </w:tr>
      <w:tr w:rsidR="005B4C58" w14:paraId="33CC6B5A" w14:textId="77777777" w:rsidTr="008B15E9">
        <w:trPr>
          <w:trHeight w:val="802"/>
        </w:trPr>
        <w:tc>
          <w:tcPr>
            <w:tcW w:w="1703" w:type="dxa"/>
            <w:tcBorders>
              <w:left w:val="nil"/>
            </w:tcBorders>
          </w:tcPr>
          <w:p w14:paraId="33CC6B53" w14:textId="779A5C6B" w:rsidR="005B4C58" w:rsidRDefault="009E7872">
            <w:pPr>
              <w:pStyle w:val="TableParagraph"/>
              <w:spacing w:before="69"/>
              <w:ind w:left="14"/>
              <w:jc w:val="left"/>
              <w:rPr>
                <w:b/>
              </w:rPr>
            </w:pPr>
            <w:r>
              <w:rPr>
                <w:b/>
                <w:color w:val="404040"/>
                <w:spacing w:val="-2"/>
              </w:rPr>
              <w:t>Interface with payment systems</w:t>
            </w:r>
          </w:p>
        </w:tc>
        <w:tc>
          <w:tcPr>
            <w:tcW w:w="1344" w:type="dxa"/>
          </w:tcPr>
          <w:p w14:paraId="33CC6B54" w14:textId="3BED887F" w:rsidR="005B4C58" w:rsidRDefault="00C45838">
            <w:pPr>
              <w:pStyle w:val="TableParagraph"/>
              <w:spacing w:before="199"/>
              <w:ind w:left="3" w:right="3"/>
            </w:pPr>
            <w:r>
              <w:rPr>
                <w:color w:val="7E7E7E"/>
                <w:spacing w:val="-2"/>
              </w:rPr>
              <w:t>PDF upload</w:t>
            </w:r>
          </w:p>
        </w:tc>
        <w:tc>
          <w:tcPr>
            <w:tcW w:w="1238" w:type="dxa"/>
          </w:tcPr>
          <w:p w14:paraId="33CC6B55" w14:textId="205B2BA9" w:rsidR="005B4C58" w:rsidRDefault="00C45838">
            <w:pPr>
              <w:pStyle w:val="TableParagraph"/>
              <w:spacing w:before="199"/>
              <w:ind w:left="4" w:right="2"/>
            </w:pPr>
            <w:r>
              <w:rPr>
                <w:color w:val="7E7E7E"/>
                <w:spacing w:val="-2"/>
              </w:rPr>
              <w:t>PDF upload</w:t>
            </w:r>
          </w:p>
        </w:tc>
        <w:tc>
          <w:tcPr>
            <w:tcW w:w="1241" w:type="dxa"/>
          </w:tcPr>
          <w:p w14:paraId="33CC6B56" w14:textId="6AD9AF4A" w:rsidR="005B4C58" w:rsidRDefault="00C45838">
            <w:pPr>
              <w:pStyle w:val="TableParagraph"/>
              <w:spacing w:before="199"/>
              <w:ind w:left="2" w:right="2"/>
            </w:pPr>
            <w:r>
              <w:rPr>
                <w:color w:val="7E7E7E"/>
                <w:spacing w:val="-2"/>
              </w:rPr>
              <w:t>PDF upload</w:t>
            </w:r>
          </w:p>
        </w:tc>
        <w:tc>
          <w:tcPr>
            <w:tcW w:w="1238" w:type="dxa"/>
          </w:tcPr>
          <w:p w14:paraId="33CC6B57" w14:textId="30DF509B" w:rsidR="005B4C58" w:rsidRDefault="00C45838">
            <w:pPr>
              <w:pStyle w:val="TableParagraph"/>
              <w:spacing w:before="199"/>
              <w:ind w:left="5" w:right="1"/>
            </w:pPr>
            <w:r>
              <w:rPr>
                <w:color w:val="7E7E7E"/>
                <w:spacing w:val="-2"/>
              </w:rPr>
              <w:t>PDF upload</w:t>
            </w:r>
          </w:p>
        </w:tc>
        <w:tc>
          <w:tcPr>
            <w:tcW w:w="1241" w:type="dxa"/>
          </w:tcPr>
          <w:p w14:paraId="33CC6B58" w14:textId="3FE4B378" w:rsidR="005B4C58" w:rsidRDefault="00C45838">
            <w:pPr>
              <w:pStyle w:val="TableParagraph"/>
              <w:spacing w:before="199"/>
              <w:ind w:left="3" w:right="2"/>
            </w:pPr>
            <w:r>
              <w:rPr>
                <w:color w:val="7E7E7E"/>
                <w:spacing w:val="-2"/>
              </w:rPr>
              <w:t>PDF upload</w:t>
            </w:r>
          </w:p>
        </w:tc>
        <w:tc>
          <w:tcPr>
            <w:tcW w:w="1504" w:type="dxa"/>
            <w:tcBorders>
              <w:right w:val="nil"/>
            </w:tcBorders>
            <w:shd w:val="clear" w:color="auto" w:fill="C5D9F0"/>
          </w:tcPr>
          <w:p w14:paraId="33CC6B59" w14:textId="0A34D62F" w:rsidR="005B4C58" w:rsidRDefault="005349F5">
            <w:pPr>
              <w:pStyle w:val="TableParagraph"/>
              <w:spacing w:before="196"/>
              <w:ind w:left="7" w:right="8"/>
              <w:rPr>
                <w:b/>
              </w:rPr>
            </w:pPr>
            <w:r>
              <w:rPr>
                <w:b/>
                <w:color w:val="1F487C"/>
                <w:spacing w:val="-2"/>
              </w:rPr>
              <w:t>Direct</w:t>
            </w:r>
          </w:p>
        </w:tc>
      </w:tr>
      <w:tr w:rsidR="005B4C58" w14:paraId="33CC6B62" w14:textId="77777777" w:rsidTr="008B15E9">
        <w:trPr>
          <w:trHeight w:val="799"/>
        </w:trPr>
        <w:tc>
          <w:tcPr>
            <w:tcW w:w="1703" w:type="dxa"/>
            <w:tcBorders>
              <w:left w:val="nil"/>
            </w:tcBorders>
          </w:tcPr>
          <w:p w14:paraId="33CC6B5B" w14:textId="3FE5C279" w:rsidR="005B4C58" w:rsidRDefault="009E7872">
            <w:pPr>
              <w:pStyle w:val="TableParagraph"/>
              <w:spacing w:before="69"/>
              <w:ind w:left="14"/>
              <w:jc w:val="left"/>
              <w:rPr>
                <w:b/>
              </w:rPr>
            </w:pPr>
            <w:r>
              <w:rPr>
                <w:b/>
                <w:color w:val="404040"/>
                <w:spacing w:val="-2"/>
              </w:rPr>
              <w:t>Interface with Court dockets</w:t>
            </w:r>
          </w:p>
        </w:tc>
        <w:tc>
          <w:tcPr>
            <w:tcW w:w="1344" w:type="dxa"/>
          </w:tcPr>
          <w:p w14:paraId="33CC6B5C" w14:textId="1764EAB4" w:rsidR="005B4C58" w:rsidRDefault="009C2DCB">
            <w:pPr>
              <w:pStyle w:val="TableParagraph"/>
              <w:spacing w:before="71"/>
              <w:ind w:left="136" w:firstLine="4"/>
              <w:jc w:val="left"/>
            </w:pPr>
            <w:r>
              <w:rPr>
                <w:color w:val="7E7E7E"/>
                <w:spacing w:val="-2"/>
              </w:rPr>
              <w:t>Manual web search</w:t>
            </w:r>
          </w:p>
        </w:tc>
        <w:tc>
          <w:tcPr>
            <w:tcW w:w="1238" w:type="dxa"/>
          </w:tcPr>
          <w:p w14:paraId="33CC6B5D" w14:textId="3CC8CEA3" w:rsidR="005B4C58" w:rsidRDefault="009C2DCB" w:rsidP="009C2DCB">
            <w:pPr>
              <w:pStyle w:val="TableParagraph"/>
              <w:spacing w:before="71"/>
              <w:ind w:left="136" w:firstLine="4"/>
              <w:jc w:val="left"/>
            </w:pPr>
            <w:r>
              <w:rPr>
                <w:color w:val="7E7E7E"/>
                <w:spacing w:val="-2"/>
              </w:rPr>
              <w:t>Manual web search</w:t>
            </w:r>
          </w:p>
        </w:tc>
        <w:tc>
          <w:tcPr>
            <w:tcW w:w="1241" w:type="dxa"/>
          </w:tcPr>
          <w:p w14:paraId="33CC6B5E" w14:textId="2B8777E6" w:rsidR="005B4C58" w:rsidRDefault="009C2DCB" w:rsidP="009C2DCB">
            <w:pPr>
              <w:pStyle w:val="TableParagraph"/>
              <w:spacing w:before="71"/>
              <w:ind w:left="136" w:firstLine="4"/>
              <w:jc w:val="left"/>
            </w:pPr>
            <w:r>
              <w:rPr>
                <w:color w:val="7E7E7E"/>
                <w:spacing w:val="-2"/>
              </w:rPr>
              <w:t>Manual web search</w:t>
            </w:r>
          </w:p>
        </w:tc>
        <w:tc>
          <w:tcPr>
            <w:tcW w:w="1238" w:type="dxa"/>
          </w:tcPr>
          <w:p w14:paraId="33CC6B5F" w14:textId="77427620" w:rsidR="005B4C58" w:rsidRDefault="009C2DCB" w:rsidP="009C2DCB">
            <w:pPr>
              <w:pStyle w:val="TableParagraph"/>
              <w:spacing w:before="71"/>
              <w:ind w:left="136" w:firstLine="4"/>
              <w:jc w:val="left"/>
            </w:pPr>
            <w:r>
              <w:rPr>
                <w:color w:val="7E7E7E"/>
                <w:spacing w:val="-2"/>
              </w:rPr>
              <w:t>Manual web search</w:t>
            </w:r>
          </w:p>
        </w:tc>
        <w:tc>
          <w:tcPr>
            <w:tcW w:w="1241" w:type="dxa"/>
          </w:tcPr>
          <w:p w14:paraId="33CC6B60" w14:textId="4F5D6670" w:rsidR="005B4C58" w:rsidRDefault="009C2DCB" w:rsidP="009C2DCB">
            <w:pPr>
              <w:pStyle w:val="TableParagraph"/>
              <w:spacing w:before="71"/>
              <w:ind w:left="136" w:firstLine="4"/>
              <w:jc w:val="left"/>
            </w:pPr>
            <w:r>
              <w:rPr>
                <w:color w:val="7E7E7E"/>
                <w:spacing w:val="-2"/>
              </w:rPr>
              <w:t>Manual web search</w:t>
            </w:r>
          </w:p>
        </w:tc>
        <w:tc>
          <w:tcPr>
            <w:tcW w:w="1504" w:type="dxa"/>
            <w:tcBorders>
              <w:right w:val="nil"/>
            </w:tcBorders>
            <w:shd w:val="clear" w:color="auto" w:fill="C5D9F0"/>
          </w:tcPr>
          <w:p w14:paraId="33CC6B61" w14:textId="143BE7D1" w:rsidR="005B4C58" w:rsidRDefault="009C2DCB">
            <w:pPr>
              <w:pStyle w:val="TableParagraph"/>
              <w:spacing w:before="196"/>
              <w:ind w:left="6" w:right="14"/>
              <w:rPr>
                <w:b/>
              </w:rPr>
            </w:pPr>
            <w:r>
              <w:rPr>
                <w:b/>
                <w:color w:val="1F487C"/>
                <w:spacing w:val="-4"/>
              </w:rPr>
              <w:t>Direct</w:t>
            </w:r>
          </w:p>
        </w:tc>
      </w:tr>
    </w:tbl>
    <w:p w14:paraId="483840A3" w14:textId="77777777" w:rsidR="00D829D2" w:rsidRDefault="00D829D2">
      <w:pPr>
        <w:pStyle w:val="Heading1"/>
        <w:ind w:left="1234"/>
        <w:rPr>
          <w:color w:val="135B85"/>
        </w:rPr>
      </w:pPr>
      <w:bookmarkStart w:id="7" w:name="_bookmark7"/>
      <w:bookmarkEnd w:id="7"/>
    </w:p>
    <w:p w14:paraId="33CC6B8E" w14:textId="77777777" w:rsidR="005B4C58" w:rsidRDefault="005B4C58">
      <w:pPr>
        <w:pStyle w:val="BodyText"/>
        <w:spacing w:before="25"/>
        <w:rPr>
          <w:b/>
        </w:rPr>
      </w:pPr>
    </w:p>
    <w:p w14:paraId="33CC6BB2" w14:textId="77777777" w:rsidR="005B4C58" w:rsidRDefault="00F86057">
      <w:pPr>
        <w:pStyle w:val="Heading1"/>
        <w:ind w:left="1234"/>
      </w:pPr>
      <w:bookmarkStart w:id="8" w:name="_bookmark8"/>
      <w:bookmarkEnd w:id="8"/>
      <w:r>
        <w:rPr>
          <w:color w:val="135B85"/>
        </w:rPr>
        <w:t>Business</w:t>
      </w:r>
      <w:r>
        <w:rPr>
          <w:color w:val="135B85"/>
          <w:spacing w:val="-16"/>
        </w:rPr>
        <w:t xml:space="preserve"> </w:t>
      </w:r>
      <w:r>
        <w:rPr>
          <w:color w:val="135B85"/>
          <w:spacing w:val="-4"/>
        </w:rPr>
        <w:t>Model</w:t>
      </w:r>
    </w:p>
    <w:p w14:paraId="33CC6BB3" w14:textId="77777777" w:rsidR="005B4C58" w:rsidRDefault="00F86057">
      <w:pPr>
        <w:pStyle w:val="BodyText"/>
        <w:rPr>
          <w:b/>
          <w:sz w:val="16"/>
        </w:rPr>
      </w:pPr>
      <w:r>
        <w:rPr>
          <w:b/>
          <w:noProof/>
          <w:sz w:val="16"/>
        </w:rPr>
        <mc:AlternateContent>
          <mc:Choice Requires="wps">
            <w:drawing>
              <wp:anchor distT="0" distB="0" distL="0" distR="0" simplePos="0" relativeHeight="251673088" behindDoc="1" locked="0" layoutInCell="1" allowOverlap="1" wp14:anchorId="33CC6F2C" wp14:editId="33CC6F2D">
                <wp:simplePos x="0" y="0"/>
                <wp:positionH relativeFrom="page">
                  <wp:posOffset>1125016</wp:posOffset>
                </wp:positionH>
                <wp:positionV relativeFrom="paragraph">
                  <wp:posOffset>132226</wp:posOffset>
                </wp:positionV>
                <wp:extent cx="5312410" cy="1270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12700"/>
                        </a:xfrm>
                        <a:custGeom>
                          <a:avLst/>
                          <a:gdLst/>
                          <a:ahLst/>
                          <a:cxnLst/>
                          <a:rect l="l" t="t" r="r" b="b"/>
                          <a:pathLst>
                            <a:path w="5312410" h="12700">
                              <a:moveTo>
                                <a:pt x="5312029" y="0"/>
                              </a:moveTo>
                              <a:lnTo>
                                <a:pt x="0" y="0"/>
                              </a:lnTo>
                              <a:lnTo>
                                <a:pt x="0" y="12192"/>
                              </a:lnTo>
                              <a:lnTo>
                                <a:pt x="5312029" y="12192"/>
                              </a:lnTo>
                              <a:lnTo>
                                <a:pt x="5312029"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543D33A0" id="Graphic 53" o:spid="_x0000_s1026" style="position:absolute;margin-left:88.6pt;margin-top:10.4pt;width:418.3pt;height:1pt;z-index:-251643392;visibility:visible;mso-wrap-style:square;mso-wrap-distance-left:0;mso-wrap-distance-top:0;mso-wrap-distance-right:0;mso-wrap-distance-bottom:0;mso-position-horizontal:absolute;mso-position-horizontal-relative:page;mso-position-vertical:absolute;mso-position-vertical-relative:text;v-text-anchor:top" coordsize="53124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" path="m5312029,l,,,12192r5312029,l5312029,xe" fillcolor="#585858" stroked="f">
                <v:path arrowok="t"/>
                <w10:wrap type="topAndBottom" anchorx="page"/>
              </v:shape>
            </w:pict>
          </mc:Fallback>
        </mc:AlternateContent>
      </w:r>
    </w:p>
    <w:p w14:paraId="33CC6BB4" w14:textId="77777777" w:rsidR="005B4C58" w:rsidRDefault="005B4C58">
      <w:pPr>
        <w:pStyle w:val="BodyText"/>
        <w:spacing w:before="25"/>
        <w:rPr>
          <w:b/>
        </w:rPr>
      </w:pPr>
    </w:p>
    <w:p w14:paraId="33CC6BB8" w14:textId="03737254" w:rsidR="005B4C58" w:rsidRPr="00F023C2" w:rsidRDefault="004D0709" w:rsidP="00F023C2">
      <w:pPr>
        <w:pStyle w:val="BodyText"/>
        <w:spacing w:before="199" w:line="360" w:lineRule="auto"/>
        <w:ind w:left="100" w:right="96"/>
        <w:jc w:val="both"/>
        <w:rPr>
          <w:color w:val="7E7E7E"/>
        </w:rPr>
      </w:pPr>
      <w:r>
        <w:rPr>
          <w:color w:val="7E7E7E"/>
        </w:rPr>
        <w:t xml:space="preserve">CGA’s business model is centered around the complex flows of money within the asbestos litigation. While the broad functioning of the asbestos litigation is to move funds from insurance companies to defense firms to plaintiffs, the individual defendants and insurance policies are the pathway through which this money must necessarily flow. This means that while the software was designed to be used by attorneys and law firms, it must additionally produce significant and measurable gains to individual client/defendants. We plan on offering two different versions of The Cook Book to address this dislocation. A version centered around billing will give immediate gains to law firms in their finance and administrative budgets. The full enterprise version of the software will be marketed to defendants and insurers, allowing them full control over the defense of their claims. This two-tiered approach will </w:t>
      </w:r>
      <w:commentRangeStart w:id="9"/>
      <w:r>
        <w:rPr>
          <w:color w:val="7E7E7E"/>
        </w:rPr>
        <w:t xml:space="preserve">pay gains </w:t>
      </w:r>
      <w:commentRangeEnd w:id="9"/>
      <w:r w:rsidR="00A93FDA">
        <w:rPr>
          <w:rStyle w:val="CommentReference"/>
          <w:color w:val="7E7E7E"/>
          <w:sz w:val="22"/>
          <w:szCs w:val="22"/>
        </w:rPr>
        <w:commentReference w:id="9"/>
      </w:r>
      <w:r>
        <w:rPr>
          <w:color w:val="7E7E7E"/>
        </w:rPr>
        <w:t xml:space="preserve">as we increase market share. More law firms and defendants will already be using The Cook Book so the implementation and marketing costs will decline as market share increases. </w:t>
      </w:r>
    </w:p>
    <w:p w14:paraId="33CC6BCF" w14:textId="77777777" w:rsidR="005B4C58" w:rsidRDefault="00F86057">
      <w:pPr>
        <w:pStyle w:val="Heading1"/>
        <w:ind w:left="1234"/>
      </w:pPr>
      <w:bookmarkStart w:id="10" w:name="_bookmark9"/>
      <w:bookmarkStart w:id="11" w:name="_bookmark10"/>
      <w:bookmarkEnd w:id="10"/>
      <w:bookmarkEnd w:id="11"/>
      <w:r>
        <w:rPr>
          <w:color w:val="135B85"/>
        </w:rPr>
        <w:t>Marketing</w:t>
      </w:r>
      <w:r>
        <w:rPr>
          <w:color w:val="135B85"/>
          <w:spacing w:val="-17"/>
        </w:rPr>
        <w:t xml:space="preserve"> </w:t>
      </w:r>
      <w:r>
        <w:rPr>
          <w:color w:val="135B85"/>
          <w:spacing w:val="-4"/>
        </w:rPr>
        <w:t>Plan</w:t>
      </w:r>
    </w:p>
    <w:p w14:paraId="33CC6BD0" w14:textId="77777777" w:rsidR="005B4C58" w:rsidRDefault="00F86057">
      <w:pPr>
        <w:pStyle w:val="BodyText"/>
        <w:rPr>
          <w:b/>
          <w:sz w:val="16"/>
        </w:rPr>
      </w:pPr>
      <w:r>
        <w:rPr>
          <w:b/>
          <w:noProof/>
          <w:sz w:val="16"/>
        </w:rPr>
        <mc:AlternateContent>
          <mc:Choice Requires="wps">
            <w:drawing>
              <wp:anchor distT="0" distB="0" distL="0" distR="0" simplePos="0" relativeHeight="251675136" behindDoc="1" locked="0" layoutInCell="1" allowOverlap="1" wp14:anchorId="33CC6F3A" wp14:editId="33CC6F3B">
                <wp:simplePos x="0" y="0"/>
                <wp:positionH relativeFrom="page">
                  <wp:posOffset>1125016</wp:posOffset>
                </wp:positionH>
                <wp:positionV relativeFrom="paragraph">
                  <wp:posOffset>132226</wp:posOffset>
                </wp:positionV>
                <wp:extent cx="5312410" cy="1270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12700"/>
                        </a:xfrm>
                        <a:custGeom>
                          <a:avLst/>
                          <a:gdLst/>
                          <a:ahLst/>
                          <a:cxnLst/>
                          <a:rect l="l" t="t" r="r" b="b"/>
                          <a:pathLst>
                            <a:path w="5312410" h="12700">
                              <a:moveTo>
                                <a:pt x="5312029" y="0"/>
                              </a:moveTo>
                              <a:lnTo>
                                <a:pt x="0" y="0"/>
                              </a:lnTo>
                              <a:lnTo>
                                <a:pt x="0" y="12192"/>
                              </a:lnTo>
                              <a:lnTo>
                                <a:pt x="5312029" y="12192"/>
                              </a:lnTo>
                              <a:lnTo>
                                <a:pt x="5312029"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1EDC6FB5" id="Graphic 60" o:spid="_x0000_s1026" style="position:absolute;margin-left:88.6pt;margin-top:10.4pt;width:418.3pt;height:1pt;z-index:-251641344;visibility:visible;mso-wrap-style:square;mso-wrap-distance-left:0;mso-wrap-distance-top:0;mso-wrap-distance-right:0;mso-wrap-distance-bottom:0;mso-position-horizontal:absolute;mso-position-horizontal-relative:page;mso-position-vertical:absolute;mso-position-vertical-relative:text;v-text-anchor:top" coordsize="53124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" path="m5312029,l,,,12192r5312029,l5312029,xe" fillcolor="#585858" stroked="f">
                <v:path arrowok="t"/>
                <w10:wrap type="topAndBottom" anchorx="page"/>
              </v:shape>
            </w:pict>
          </mc:Fallback>
        </mc:AlternateContent>
      </w:r>
    </w:p>
    <w:p w14:paraId="33CC6BD1" w14:textId="77777777" w:rsidR="005B4C58" w:rsidRDefault="005B4C58">
      <w:pPr>
        <w:pStyle w:val="BodyText"/>
        <w:spacing w:before="25"/>
        <w:rPr>
          <w:b/>
        </w:rPr>
      </w:pPr>
    </w:p>
    <w:p w14:paraId="33CC6BE1" w14:textId="501DF2BD" w:rsidR="005B4C58" w:rsidRDefault="004D0709" w:rsidP="00F023C2">
      <w:pPr>
        <w:pStyle w:val="BodyText"/>
        <w:spacing w:before="199" w:line="360" w:lineRule="auto"/>
        <w:ind w:left="100" w:right="96"/>
        <w:jc w:val="both"/>
        <w:rPr>
          <w:color w:val="7E7E7E"/>
        </w:rPr>
      </w:pPr>
      <w:r>
        <w:rPr>
          <w:color w:val="7E7E7E"/>
        </w:rPr>
        <w:t xml:space="preserve">Marketing of The Cook Book is similarly specific to asbestos litigation. The closed world of market participants means that marketing efforts can be hyper-focused. </w:t>
      </w:r>
      <w:r w:rsidR="008B15E9">
        <w:rPr>
          <w:color w:val="7E7E7E"/>
        </w:rPr>
        <w:t>Initial s</w:t>
      </w:r>
      <w:r>
        <w:rPr>
          <w:color w:val="7E7E7E"/>
        </w:rPr>
        <w:t xml:space="preserve">ales will be handled by Kevin Hannemann and another former insurance executive. Together they have over 30 years of networking in the asbestos industry. Rather than hiring a sales force to cold call clients, we will be working with a known client list with past connections to </w:t>
      </w:r>
      <w:r w:rsidR="00F86057">
        <w:rPr>
          <w:color w:val="7E7E7E"/>
        </w:rPr>
        <w:t>CGA</w:t>
      </w:r>
      <w:r>
        <w:rPr>
          <w:color w:val="7E7E7E"/>
        </w:rPr>
        <w:t xml:space="preserve">. More broad-based marketing efforts will be focused on industry conferences such as Perrin or DRI. These conferences gather essentially all market participants in one room, so they will be the most productive forms of mass marketing available to us. </w:t>
      </w:r>
    </w:p>
    <w:p w14:paraId="2A2297A2" w14:textId="77777777" w:rsidR="008B15E9" w:rsidRDefault="008B15E9" w:rsidP="00F023C2">
      <w:pPr>
        <w:pStyle w:val="BodyText"/>
        <w:spacing w:before="199" w:line="360" w:lineRule="auto"/>
        <w:ind w:left="100" w:right="96"/>
        <w:jc w:val="both"/>
        <w:rPr>
          <w:color w:val="7E7E7E"/>
        </w:rPr>
      </w:pPr>
    </w:p>
    <w:p w14:paraId="0301DBF0" w14:textId="77777777" w:rsidR="000C0BD1" w:rsidRDefault="000C0BD1">
      <w:pPr>
        <w:pStyle w:val="BodyText"/>
        <w:spacing w:before="81"/>
        <w:rPr>
          <w:sz w:val="32"/>
        </w:rPr>
      </w:pPr>
    </w:p>
    <w:p w14:paraId="434837BF" w14:textId="1C0760EF" w:rsidR="00900872" w:rsidRDefault="00900872" w:rsidP="00900872">
      <w:pPr>
        <w:pStyle w:val="Heading1"/>
        <w:ind w:left="1234"/>
      </w:pPr>
      <w:bookmarkStart w:id="12" w:name="_bookmark11"/>
      <w:bookmarkEnd w:id="12"/>
      <w:r>
        <w:rPr>
          <w:color w:val="135B85"/>
        </w:rPr>
        <w:t>Financial Plan</w:t>
      </w:r>
    </w:p>
    <w:p w14:paraId="448F7041" w14:textId="77777777" w:rsidR="00900872" w:rsidRDefault="00900872" w:rsidP="00900872">
      <w:pPr>
        <w:pStyle w:val="BodyText"/>
        <w:rPr>
          <w:b/>
          <w:sz w:val="16"/>
        </w:rPr>
      </w:pPr>
      <w:r>
        <w:rPr>
          <w:b/>
          <w:noProof/>
          <w:sz w:val="16"/>
        </w:rPr>
        <mc:AlternateContent>
          <mc:Choice Requires="wps">
            <w:drawing>
              <wp:anchor distT="0" distB="0" distL="0" distR="0" simplePos="0" relativeHeight="487589888" behindDoc="1" locked="0" layoutInCell="1" allowOverlap="1" wp14:anchorId="14C935FD" wp14:editId="0628F17F">
                <wp:simplePos x="0" y="0"/>
                <wp:positionH relativeFrom="page">
                  <wp:posOffset>1125016</wp:posOffset>
                </wp:positionH>
                <wp:positionV relativeFrom="paragraph">
                  <wp:posOffset>132226</wp:posOffset>
                </wp:positionV>
                <wp:extent cx="5312410" cy="12700"/>
                <wp:effectExtent l="0" t="0" r="0" b="0"/>
                <wp:wrapTopAndBottom/>
                <wp:docPr id="511219921"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12700"/>
                        </a:xfrm>
                        <a:custGeom>
                          <a:avLst/>
                          <a:gdLst/>
                          <a:ahLst/>
                          <a:cxnLst/>
                          <a:rect l="l" t="t" r="r" b="b"/>
                          <a:pathLst>
                            <a:path w="5312410" h="12700">
                              <a:moveTo>
                                <a:pt x="5312029" y="0"/>
                              </a:moveTo>
                              <a:lnTo>
                                <a:pt x="0" y="0"/>
                              </a:lnTo>
                              <a:lnTo>
                                <a:pt x="0" y="12192"/>
                              </a:lnTo>
                              <a:lnTo>
                                <a:pt x="5312029" y="12192"/>
                              </a:lnTo>
                              <a:lnTo>
                                <a:pt x="5312029"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7DC3E048" id="Graphic 60" o:spid="_x0000_s1026" style="position:absolute;margin-left:88.6pt;margin-top:10.4pt;width:418.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3124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" path="m5312029,l,,,12192r5312029,l5312029,xe" fillcolor="#585858" stroked="f">
                <v:path arrowok="t"/>
                <w10:wrap type="topAndBottom" anchorx="page"/>
              </v:shape>
            </w:pict>
          </mc:Fallback>
        </mc:AlternateContent>
      </w:r>
    </w:p>
    <w:p w14:paraId="4DD24D99" w14:textId="77777777" w:rsidR="00900872" w:rsidRDefault="00900872" w:rsidP="00900872">
      <w:pPr>
        <w:pStyle w:val="BodyText"/>
        <w:spacing w:before="25"/>
        <w:rPr>
          <w:b/>
        </w:rPr>
      </w:pPr>
    </w:p>
    <w:p w14:paraId="07C32C98" w14:textId="2CFD390D" w:rsidR="00900872" w:rsidRDefault="00900872" w:rsidP="00900872">
      <w:pPr>
        <w:pStyle w:val="Heading2"/>
        <w:ind w:left="165"/>
        <w:jc w:val="both"/>
        <w:rPr>
          <w:color w:val="E68800"/>
        </w:rPr>
      </w:pPr>
      <w:r>
        <w:rPr>
          <w:color w:val="E68800"/>
        </w:rPr>
        <w:t>Overview:</w:t>
      </w:r>
    </w:p>
    <w:p w14:paraId="33CC6BE4" w14:textId="77777777" w:rsidR="005B4C58" w:rsidRDefault="005B4C58">
      <w:pPr>
        <w:pStyle w:val="BodyText"/>
        <w:spacing w:before="25"/>
        <w:rPr>
          <w:b/>
        </w:rPr>
      </w:pPr>
    </w:p>
    <w:p w14:paraId="7F308872" w14:textId="1AF04874" w:rsidR="00F023C2" w:rsidRDefault="00B31728" w:rsidP="00F023C2">
      <w:pPr>
        <w:pStyle w:val="BodyText"/>
        <w:spacing w:before="199" w:line="360" w:lineRule="auto"/>
        <w:ind w:left="100" w:right="96"/>
        <w:jc w:val="both"/>
        <w:rPr>
          <w:color w:val="7E7E7E"/>
        </w:rPr>
      </w:pPr>
      <w:r>
        <w:rPr>
          <w:color w:val="7E7E7E"/>
        </w:rPr>
        <w:t xml:space="preserve">This financial plan is specifically tailored to gaining market share in the asbestos litigation. </w:t>
      </w:r>
      <w:r>
        <w:rPr>
          <w:color w:val="7E7E7E"/>
        </w:rPr>
        <w:lastRenderedPageBreak/>
        <w:t xml:space="preserve">CGA’s unique business relationship with The Cook Group Law Firm </w:t>
      </w:r>
      <w:r w:rsidR="006D63B8">
        <w:rPr>
          <w:color w:val="7E7E7E"/>
        </w:rPr>
        <w:t xml:space="preserve">allows for a significantly different cost structure than other, stand-alone companies. In short, CGA is not a software startup, it is The Cook Group’s development and marketing arm for our internal software. Product testing has proceeded for </w:t>
      </w:r>
      <w:r w:rsidR="00A93FDA">
        <w:rPr>
          <w:color w:val="7E7E7E"/>
        </w:rPr>
        <w:t xml:space="preserve">six </w:t>
      </w:r>
      <w:r w:rsidR="006D63B8">
        <w:rPr>
          <w:color w:val="7E7E7E"/>
        </w:rPr>
        <w:t xml:space="preserve">years under the normal operations of the law firm. Business operations will be fractional cost </w:t>
      </w:r>
      <w:r w:rsidR="00A069DC">
        <w:rPr>
          <w:color w:val="7E7E7E"/>
        </w:rPr>
        <w:t>to</w:t>
      </w:r>
      <w:r w:rsidR="006D63B8">
        <w:rPr>
          <w:color w:val="7E7E7E"/>
        </w:rPr>
        <w:t xml:space="preserve"> law firm operations. No staff or expenses will be added until necessary. This nimbleness in scaling is a key part of The Cook Group Law Firm’s success</w:t>
      </w:r>
      <w:r w:rsidR="008B15E9">
        <w:rPr>
          <w:color w:val="7E7E7E"/>
        </w:rPr>
        <w:t xml:space="preserve"> and will allow CGA’s fixed costs to scale evenly as opposed to the lumpy spending required for other companies. </w:t>
      </w:r>
    </w:p>
    <w:p w14:paraId="33CC6BE8" w14:textId="253D7A95" w:rsidR="005B4C58" w:rsidRDefault="00A069DC" w:rsidP="00F023C2">
      <w:pPr>
        <w:pStyle w:val="BodyText"/>
        <w:spacing w:before="199" w:line="360" w:lineRule="auto"/>
        <w:ind w:left="100" w:right="96"/>
        <w:jc w:val="both"/>
        <w:rPr>
          <w:color w:val="7E7E7E"/>
        </w:rPr>
      </w:pPr>
      <w:r>
        <w:rPr>
          <w:color w:val="7E7E7E"/>
        </w:rPr>
        <w:t>While a more traditional financial approach will be required when expanding into the broader mass tort or insurance markets, CGA’s expansion in the asbestos market will proceed along the same lines as that of the law firm. Efficiency and nimbleness will guide all decisions.</w:t>
      </w:r>
      <w:r w:rsidR="00F023C2">
        <w:rPr>
          <w:color w:val="7E7E7E"/>
        </w:rPr>
        <w:t xml:space="preserve"> Entry into the broader mass tort market will require some tweaking of the software as well as an updated business and financial plan. While the differences between other mass torts and asbestos litigation are relatively minor, those nuances are where the value lies in CGA. The Cook Book was designed specifically to deal with asbestos litigation and solves the underlying issues elegantly. In order to bring a similarly valuable product to market to manage other mass tort claims, it is critical that CGA works hand in hand with TCG’s attorneys as the law firm</w:t>
      </w:r>
      <w:r w:rsidR="008B15E9">
        <w:rPr>
          <w:color w:val="7E7E7E"/>
        </w:rPr>
        <w:t>’</w:t>
      </w:r>
      <w:r w:rsidR="00F023C2">
        <w:rPr>
          <w:color w:val="7E7E7E"/>
        </w:rPr>
        <w:t xml:space="preserve">s client list grows to include other MDL and mass tort defendants. We seek to bring purpose-built software to market, not adaptations of off-the-shelf solutions.  </w:t>
      </w:r>
      <w:r>
        <w:rPr>
          <w:color w:val="7E7E7E"/>
        </w:rPr>
        <w:t xml:space="preserve"> </w:t>
      </w:r>
      <w:r w:rsidR="006D63B8">
        <w:rPr>
          <w:color w:val="7E7E7E"/>
        </w:rPr>
        <w:t xml:space="preserve"> </w:t>
      </w:r>
    </w:p>
    <w:p w14:paraId="42E57174" w14:textId="77777777" w:rsidR="006D63B8" w:rsidRDefault="006D63B8" w:rsidP="006D63B8">
      <w:pPr>
        <w:pStyle w:val="BodyText"/>
        <w:spacing w:before="71"/>
        <w:jc w:val="both"/>
        <w:rPr>
          <w:color w:val="7E7E7E"/>
        </w:rPr>
      </w:pPr>
    </w:p>
    <w:p w14:paraId="5B761952" w14:textId="77777777" w:rsidR="00B31728" w:rsidRDefault="00B31728">
      <w:pPr>
        <w:pStyle w:val="BodyText"/>
        <w:spacing w:before="71"/>
      </w:pPr>
    </w:p>
    <w:p w14:paraId="56A7CDA7" w14:textId="77777777" w:rsidR="00650A0E" w:rsidRDefault="00650A0E" w:rsidP="00CC620E">
      <w:pPr>
        <w:pStyle w:val="Heading2"/>
        <w:ind w:left="165"/>
        <w:jc w:val="both"/>
        <w:rPr>
          <w:color w:val="E68800"/>
        </w:rPr>
      </w:pPr>
      <w:r>
        <w:rPr>
          <w:color w:val="E68800"/>
        </w:rPr>
        <w:t>Revenue</w:t>
      </w:r>
      <w:r w:rsidR="00CA6C43">
        <w:rPr>
          <w:color w:val="E68800"/>
        </w:rPr>
        <w:t xml:space="preserve"> </w:t>
      </w:r>
    </w:p>
    <w:p w14:paraId="76BA1C34" w14:textId="77777777" w:rsidR="00650A0E" w:rsidRDefault="00650A0E" w:rsidP="00CC620E">
      <w:pPr>
        <w:pStyle w:val="Heading2"/>
        <w:ind w:left="165"/>
        <w:jc w:val="both"/>
        <w:rPr>
          <w:color w:val="E68800"/>
        </w:rPr>
      </w:pPr>
    </w:p>
    <w:p w14:paraId="0C1313E1" w14:textId="33B31B1E" w:rsidR="00650A0E" w:rsidRDefault="00650A0E" w:rsidP="00650A0E">
      <w:pPr>
        <w:pStyle w:val="Heading2"/>
        <w:ind w:left="-900"/>
        <w:jc w:val="both"/>
        <w:rPr>
          <w:color w:val="E68800"/>
        </w:rPr>
      </w:pPr>
      <w:r w:rsidRPr="00650A0E">
        <w:rPr>
          <w:noProof/>
          <w:color w:val="E68800"/>
        </w:rPr>
        <w:drawing>
          <wp:inline distT="0" distB="0" distL="0" distR="0" wp14:anchorId="79241E12" wp14:editId="3D670C09">
            <wp:extent cx="7152715" cy="1041991"/>
            <wp:effectExtent l="0" t="0" r="0" b="6350"/>
            <wp:docPr id="29910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07098" name=""/>
                    <pic:cNvPicPr/>
                  </pic:nvPicPr>
                  <pic:blipFill>
                    <a:blip r:embed="rId27"/>
                    <a:stretch>
                      <a:fillRect/>
                    </a:stretch>
                  </pic:blipFill>
                  <pic:spPr>
                    <a:xfrm>
                      <a:off x="0" y="0"/>
                      <a:ext cx="7205100" cy="1049622"/>
                    </a:xfrm>
                    <a:prstGeom prst="rect">
                      <a:avLst/>
                    </a:prstGeom>
                  </pic:spPr>
                </pic:pic>
              </a:graphicData>
            </a:graphic>
          </wp:inline>
        </w:drawing>
      </w:r>
    </w:p>
    <w:p w14:paraId="1F0DD48A" w14:textId="77777777" w:rsidR="00650A0E" w:rsidRDefault="00650A0E" w:rsidP="00CC620E">
      <w:pPr>
        <w:pStyle w:val="Heading2"/>
        <w:ind w:left="165"/>
        <w:jc w:val="both"/>
        <w:rPr>
          <w:color w:val="E68800"/>
        </w:rPr>
      </w:pPr>
    </w:p>
    <w:p w14:paraId="6A3271E2" w14:textId="77777777" w:rsidR="00650A0E" w:rsidRDefault="00650A0E" w:rsidP="00CC620E">
      <w:pPr>
        <w:pStyle w:val="Heading2"/>
        <w:ind w:left="165"/>
        <w:jc w:val="both"/>
        <w:rPr>
          <w:color w:val="E68800"/>
        </w:rPr>
      </w:pPr>
    </w:p>
    <w:p w14:paraId="6A36347A" w14:textId="77777777" w:rsidR="00650A0E" w:rsidRDefault="00650A0E" w:rsidP="00CC620E">
      <w:pPr>
        <w:pStyle w:val="Heading2"/>
        <w:ind w:left="165"/>
        <w:jc w:val="both"/>
        <w:rPr>
          <w:color w:val="E68800"/>
        </w:rPr>
      </w:pPr>
    </w:p>
    <w:p w14:paraId="4B63AD6B" w14:textId="77777777" w:rsidR="00650A0E" w:rsidRDefault="00650A0E" w:rsidP="00CC620E">
      <w:pPr>
        <w:pStyle w:val="Heading2"/>
        <w:ind w:left="165"/>
        <w:jc w:val="both"/>
        <w:rPr>
          <w:color w:val="E68800"/>
        </w:rPr>
      </w:pPr>
    </w:p>
    <w:p w14:paraId="490E7127" w14:textId="2E8BB87F" w:rsidR="00044FFF" w:rsidRDefault="00650A0E" w:rsidP="00CC620E">
      <w:pPr>
        <w:pStyle w:val="Heading2"/>
        <w:ind w:left="165"/>
        <w:jc w:val="both"/>
        <w:rPr>
          <w:color w:val="E68800"/>
        </w:rPr>
      </w:pPr>
      <w:r>
        <w:rPr>
          <w:color w:val="E68800"/>
        </w:rPr>
        <w:t>Expenses</w:t>
      </w:r>
    </w:p>
    <w:p w14:paraId="0D88B012" w14:textId="77777777" w:rsidR="00650A0E" w:rsidRDefault="00650A0E" w:rsidP="00CC620E">
      <w:pPr>
        <w:pStyle w:val="Heading2"/>
        <w:ind w:left="165"/>
        <w:jc w:val="both"/>
        <w:rPr>
          <w:color w:val="E68800"/>
        </w:rPr>
      </w:pPr>
    </w:p>
    <w:p w14:paraId="167581D0" w14:textId="77777777" w:rsidR="00650A0E" w:rsidRDefault="00650A0E" w:rsidP="00CC620E">
      <w:pPr>
        <w:pStyle w:val="Heading2"/>
        <w:ind w:left="165"/>
        <w:jc w:val="both"/>
        <w:rPr>
          <w:color w:val="E68800"/>
        </w:rPr>
      </w:pPr>
    </w:p>
    <w:p w14:paraId="0EA8DBBA" w14:textId="77777777" w:rsidR="00650A0E" w:rsidRDefault="00650A0E" w:rsidP="00650A0E">
      <w:pPr>
        <w:pStyle w:val="Heading2"/>
        <w:ind w:left="-810"/>
        <w:jc w:val="both"/>
      </w:pPr>
      <w:r w:rsidRPr="00650A0E">
        <w:rPr>
          <w:noProof/>
        </w:rPr>
        <w:lastRenderedPageBreak/>
        <w:drawing>
          <wp:inline distT="0" distB="0" distL="0" distR="0" wp14:anchorId="67C392DD" wp14:editId="359AF92E">
            <wp:extent cx="7028121" cy="1221108"/>
            <wp:effectExtent l="0" t="0" r="1905" b="0"/>
            <wp:docPr id="39327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74769" name=""/>
                    <pic:cNvPicPr/>
                  </pic:nvPicPr>
                  <pic:blipFill>
                    <a:blip r:embed="rId28"/>
                    <a:stretch>
                      <a:fillRect/>
                    </a:stretch>
                  </pic:blipFill>
                  <pic:spPr>
                    <a:xfrm>
                      <a:off x="0" y="0"/>
                      <a:ext cx="7047476" cy="1224471"/>
                    </a:xfrm>
                    <a:prstGeom prst="rect">
                      <a:avLst/>
                    </a:prstGeom>
                  </pic:spPr>
                </pic:pic>
              </a:graphicData>
            </a:graphic>
          </wp:inline>
        </w:drawing>
      </w:r>
    </w:p>
    <w:p w14:paraId="11878506" w14:textId="77777777" w:rsidR="00650A0E" w:rsidRPr="00650A0E" w:rsidRDefault="00650A0E" w:rsidP="00650A0E"/>
    <w:p w14:paraId="008A3384" w14:textId="77777777" w:rsidR="00650A0E" w:rsidRPr="00650A0E" w:rsidRDefault="00650A0E" w:rsidP="00650A0E"/>
    <w:p w14:paraId="7CC61A5D" w14:textId="77777777" w:rsidR="00650A0E" w:rsidRDefault="00650A0E" w:rsidP="00650A0E">
      <w:pPr>
        <w:rPr>
          <w:b/>
          <w:bCs/>
          <w:sz w:val="24"/>
          <w:szCs w:val="24"/>
        </w:rPr>
      </w:pPr>
    </w:p>
    <w:p w14:paraId="3A3DC903" w14:textId="76DC422A" w:rsidR="00650A0E" w:rsidRDefault="00650A0E" w:rsidP="00650A0E">
      <w:pPr>
        <w:pStyle w:val="BodyText"/>
        <w:spacing w:before="199" w:line="360" w:lineRule="auto"/>
        <w:ind w:left="100" w:right="96"/>
        <w:jc w:val="both"/>
        <w:rPr>
          <w:color w:val="7E7E7E"/>
        </w:rPr>
      </w:pPr>
      <w:r>
        <w:rPr>
          <w:color w:val="7E7E7E"/>
        </w:rPr>
        <w:t xml:space="preserve">Both the revenue and expense models above reflect our vision for gaining market share in the asbestos litigation (initial boost from market demand, then a steady increase), and our efficient corporate and business structure. </w:t>
      </w:r>
    </w:p>
    <w:p w14:paraId="7BB31432" w14:textId="77777777" w:rsidR="00650A0E" w:rsidRDefault="00650A0E" w:rsidP="00650A0E">
      <w:pPr>
        <w:pStyle w:val="BodyText"/>
        <w:spacing w:before="199" w:line="360" w:lineRule="auto"/>
        <w:ind w:left="100" w:right="96"/>
        <w:jc w:val="both"/>
        <w:rPr>
          <w:color w:val="7E7E7E"/>
        </w:rPr>
      </w:pPr>
    </w:p>
    <w:p w14:paraId="10E3BFAA" w14:textId="2AFBBD85" w:rsidR="00650A0E" w:rsidRDefault="00650A0E" w:rsidP="00650A0E">
      <w:pPr>
        <w:pStyle w:val="Heading1"/>
        <w:ind w:left="1234"/>
      </w:pPr>
      <w:r>
        <w:rPr>
          <w:color w:val="135B85"/>
        </w:rPr>
        <w:t>Conclusion</w:t>
      </w:r>
    </w:p>
    <w:p w14:paraId="0C3CA8AA" w14:textId="77777777" w:rsidR="00650A0E" w:rsidRDefault="00650A0E" w:rsidP="00650A0E">
      <w:pPr>
        <w:pStyle w:val="BodyText"/>
        <w:rPr>
          <w:b/>
          <w:sz w:val="16"/>
        </w:rPr>
      </w:pPr>
      <w:r>
        <w:rPr>
          <w:b/>
          <w:noProof/>
          <w:sz w:val="16"/>
        </w:rPr>
        <mc:AlternateContent>
          <mc:Choice Requires="wps">
            <w:drawing>
              <wp:anchor distT="0" distB="0" distL="0" distR="0" simplePos="0" relativeHeight="487591936" behindDoc="1" locked="0" layoutInCell="1" allowOverlap="1" wp14:anchorId="0E1F3550" wp14:editId="5E4CF056">
                <wp:simplePos x="0" y="0"/>
                <wp:positionH relativeFrom="page">
                  <wp:posOffset>1125016</wp:posOffset>
                </wp:positionH>
                <wp:positionV relativeFrom="paragraph">
                  <wp:posOffset>132226</wp:posOffset>
                </wp:positionV>
                <wp:extent cx="5312410" cy="12700"/>
                <wp:effectExtent l="0" t="0" r="0" b="0"/>
                <wp:wrapTopAndBottom/>
                <wp:docPr id="760139091"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2410" cy="12700"/>
                        </a:xfrm>
                        <a:custGeom>
                          <a:avLst/>
                          <a:gdLst/>
                          <a:ahLst/>
                          <a:cxnLst/>
                          <a:rect l="l" t="t" r="r" b="b"/>
                          <a:pathLst>
                            <a:path w="5312410" h="12700">
                              <a:moveTo>
                                <a:pt x="5312029" y="0"/>
                              </a:moveTo>
                              <a:lnTo>
                                <a:pt x="0" y="0"/>
                              </a:lnTo>
                              <a:lnTo>
                                <a:pt x="0" y="12192"/>
                              </a:lnTo>
                              <a:lnTo>
                                <a:pt x="5312029" y="12192"/>
                              </a:lnTo>
                              <a:lnTo>
                                <a:pt x="5312029" y="0"/>
                              </a:lnTo>
                              <a:close/>
                            </a:path>
                          </a:pathLst>
                        </a:custGeom>
                        <a:solidFill>
                          <a:srgbClr val="585858"/>
                        </a:solidFill>
                      </wps:spPr>
                      <wps:bodyPr wrap="square" lIns="0" tIns="0" rIns="0" bIns="0" rtlCol="0">
                        <a:prstTxWarp prst="textNoShape">
                          <a:avLst/>
                        </a:prstTxWarp>
                        <a:noAutofit/>
                      </wps:bodyPr>
                    </wps:wsp>
                  </a:graphicData>
                </a:graphic>
              </wp:anchor>
            </w:drawing>
          </mc:Choice>
          <mc:Fallback>
            <w:pict>
              <v:shape w14:anchorId="737DBE3D" id="Graphic 60" o:spid="_x0000_s1026" style="position:absolute;margin-left:88.6pt;margin-top:10.4pt;width:418.3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3124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" path="m5312029,l,,,12192r5312029,l5312029,xe" fillcolor="#585858" stroked="f">
                <v:path arrowok="t"/>
                <w10:wrap type="topAndBottom" anchorx="page"/>
              </v:shape>
            </w:pict>
          </mc:Fallback>
        </mc:AlternateContent>
      </w:r>
    </w:p>
    <w:p w14:paraId="3F76CCB0" w14:textId="77777777" w:rsidR="00650A0E" w:rsidRPr="00650A0E" w:rsidRDefault="00650A0E" w:rsidP="00650A0E">
      <w:pPr>
        <w:pStyle w:val="BodyText"/>
        <w:spacing w:before="199" w:line="360" w:lineRule="auto"/>
        <w:ind w:left="100" w:right="96"/>
        <w:jc w:val="both"/>
        <w:rPr>
          <w:color w:val="7E7E7E"/>
        </w:rPr>
      </w:pPr>
    </w:p>
    <w:p w14:paraId="33CC6E90" w14:textId="73023995" w:rsidR="00650A0E" w:rsidRPr="00650A0E" w:rsidRDefault="00650A0E" w:rsidP="00650A0E">
      <w:pPr>
        <w:pStyle w:val="BodyText"/>
        <w:spacing w:before="199" w:line="360" w:lineRule="auto"/>
        <w:ind w:left="100" w:right="96"/>
        <w:jc w:val="both"/>
        <w:rPr>
          <w:color w:val="7E7E7E"/>
        </w:rPr>
        <w:sectPr w:rsidR="00650A0E" w:rsidRPr="00650A0E" w:rsidSect="00D829D2">
          <w:footerReference w:type="default" r:id="rId29"/>
          <w:pgSz w:w="11910" w:h="16840"/>
          <w:pgMar w:top="1275" w:right="1340" w:bottom="1275" w:left="1200" w:header="0" w:footer="1008" w:gutter="0"/>
          <w:cols w:space="720"/>
          <w:docGrid w:linePitch="299"/>
        </w:sectPr>
      </w:pPr>
      <w:r>
        <w:rPr>
          <w:color w:val="7E7E7E"/>
        </w:rPr>
        <w:t xml:space="preserve">Because of the hyper-focused customization of The Cook Book for the insular and unique world of asbestos litigation, Cook Group Analytics offers singular value as an entry point into a traditionally closed market, providing a rock-solid foundation to expand into other, larger markets. </w:t>
      </w:r>
    </w:p>
    <w:p w14:paraId="33CC6EF1" w14:textId="03C1DBDF" w:rsidR="005B4C58" w:rsidRDefault="005B4C58" w:rsidP="00DB1C16">
      <w:pPr>
        <w:spacing w:before="95"/>
        <w:rPr>
          <w:sz w:val="20"/>
        </w:rPr>
      </w:pPr>
    </w:p>
    <w:sectPr w:rsidR="005B4C58" w:rsidSect="00D829D2">
      <w:pgSz w:w="11910" w:h="16840"/>
      <w:pgMar w:top="1275" w:right="1920" w:bottom="1275" w:left="280" w:header="0" w:footer="1008" w:gutter="0"/>
      <w:cols w:num="2" w:space="720" w:equalWidth="0">
        <w:col w:w="8572" w:space="1474"/>
        <w:col w:w="4244"/>
      </w:cols>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Nicole Wesselmann" w:date="2026-02-06T16:32:00Z" w:initials="NW">
    <w:p w14:paraId="7D01733F" w14:textId="77777777" w:rsidR="00E26442" w:rsidRDefault="00E26442" w:rsidP="00E26442">
      <w:pPr>
        <w:pStyle w:val="CommentText"/>
      </w:pPr>
      <w:r>
        <w:rPr>
          <w:rStyle w:val="CommentReference"/>
        </w:rPr>
        <w:annotationRef/>
      </w:r>
      <w:r>
        <w:t>Is this cut-off, or should something else be here, or should this be deleted?</w:t>
      </w:r>
    </w:p>
  </w:comment>
  <w:comment w:id="5" w:author="Nicole Wesselmann" w:date="2026-02-06T16:37:00Z" w:initials="NW">
    <w:p w14:paraId="5AC62F09" w14:textId="77777777" w:rsidR="00E26442" w:rsidRDefault="00E26442" w:rsidP="00E26442">
      <w:pPr>
        <w:pStyle w:val="CommentText"/>
      </w:pPr>
      <w:r>
        <w:rPr>
          <w:rStyle w:val="CommentReference"/>
        </w:rPr>
        <w:annotationRef/>
      </w:r>
      <w:r>
        <w:t>The last line either need to be part of the second paragraph, or needs to start with Noah rather than His. If you keep it in the third paragraph, you need an extra space between the paragraphs to keep formatting consistent throughout the document</w:t>
      </w:r>
    </w:p>
  </w:comment>
  <w:comment w:id="9" w:author="Nicole Wesselmann" w:date="2026-02-06T16:42:00Z" w:initials="NW">
    <w:p w14:paraId="597D5175" w14:textId="77777777" w:rsidR="00A93FDA" w:rsidRDefault="00A93FDA" w:rsidP="00A93FDA">
      <w:pPr>
        <w:pStyle w:val="CommentText"/>
      </w:pPr>
      <w:r>
        <w:rPr>
          <w:rStyle w:val="CommentReference"/>
        </w:rPr>
        <w:annotationRef/>
      </w:r>
      <w:r>
        <w:t>I find this phrasing awkward but am not coming up with a good substitute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01733F" w15:done="0"/>
  <w15:commentEx w15:paraId="5AC62F09" w15:done="0"/>
  <w15:commentEx w15:paraId="597D51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27F4C2" w16cex:dateUtc="2026-02-06T21:32:00Z"/>
  <w16cex:commentExtensible w16cex:durableId="00ACB2DF" w16cex:dateUtc="2026-02-06T21:37:00Z"/>
  <w16cex:commentExtensible w16cex:durableId="7FA3E793" w16cex:dateUtc="2026-02-06T2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01733F" w16cid:durableId="0F27F4C2"/>
  <w16cid:commentId w16cid:paraId="5AC62F09" w16cid:durableId="00ACB2DF"/>
  <w16cid:commentId w16cid:paraId="597D5175" w16cid:durableId="7FA3E7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06B40" w14:textId="77777777" w:rsidR="002D5C48" w:rsidRDefault="002D5C48">
      <w:r>
        <w:separator/>
      </w:r>
    </w:p>
  </w:endnote>
  <w:endnote w:type="continuationSeparator" w:id="0">
    <w:p w14:paraId="725B86E4" w14:textId="77777777" w:rsidR="002D5C48" w:rsidRDefault="002D5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7DE52" w14:textId="14D56FD1" w:rsidR="00551BD2" w:rsidRDefault="00551BD2">
    <w:pPr>
      <w:pStyle w:val="Footer"/>
    </w:pPr>
    <w:r>
      <w:ptab w:relativeTo="margin" w:alignment="center" w:leader="none"/>
    </w:r>
    <w:r>
      <w:t>“</w:t>
    </w:r>
    <w:r>
      <w:rPr>
        <w:i/>
        <w:iCs/>
      </w:rPr>
      <w:t>data is gold”</w:t>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A7E11" w14:textId="63ECB20B" w:rsidR="00A365BB" w:rsidRDefault="00A365BB">
    <w:pPr>
      <w:pStyle w:val="Footer"/>
      <w:jc w:val="right"/>
    </w:pPr>
  </w:p>
  <w:p w14:paraId="11115539" w14:textId="0E81D373" w:rsidR="00CC620E" w:rsidRPr="00CC620E" w:rsidRDefault="00CC620E" w:rsidP="00DB1C16">
    <w:pPr>
      <w:pStyle w:val="Footer"/>
      <w:jc w:val="center"/>
    </w:pPr>
    <w:r>
      <w:rPr>
        <w:i/>
        <w:iCs/>
      </w:rPr>
      <w:t>“data is gold”</w:t>
    </w:r>
  </w:p>
  <w:p w14:paraId="33CC6F40" w14:textId="2E15B018" w:rsidR="005B4C58" w:rsidRPr="00DC679D" w:rsidRDefault="005B4C58" w:rsidP="00CC620E">
    <w:pPr>
      <w:pStyle w:val="Footer"/>
      <w:jc w:val="center"/>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648502"/>
      <w:docPartObj>
        <w:docPartGallery w:val="Page Numbers (Bottom of Page)"/>
        <w:docPartUnique/>
      </w:docPartObj>
    </w:sdtPr>
    <w:sdtEndPr>
      <w:rPr>
        <w:noProof/>
      </w:rPr>
    </w:sdtEndPr>
    <w:sdtContent>
      <w:p w14:paraId="1DCD7614" w14:textId="3FC7E303" w:rsidR="00DB1C16" w:rsidRDefault="00DB1C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CC6F45" w14:textId="17C4D5C0" w:rsidR="005B4C58" w:rsidRPr="00DB1C16" w:rsidRDefault="00650A0E" w:rsidP="00650A0E">
    <w:pPr>
      <w:pStyle w:val="Footer"/>
      <w:jc w:val="center"/>
    </w:pPr>
    <w:r>
      <w:rPr>
        <w:i/>
        <w:iCs/>
      </w:rPr>
      <w:t>“data is gold”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F89AA" w14:textId="77777777" w:rsidR="002D5C48" w:rsidRDefault="002D5C48">
      <w:r>
        <w:separator/>
      </w:r>
    </w:p>
  </w:footnote>
  <w:footnote w:type="continuationSeparator" w:id="0">
    <w:p w14:paraId="529B1C27" w14:textId="77777777" w:rsidR="002D5C48" w:rsidRDefault="002D5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748B" w14:textId="2905FAF3" w:rsidR="00551BD2" w:rsidRDefault="00CC620E" w:rsidP="00CC620E">
    <w:pPr>
      <w:pStyle w:val="Header"/>
      <w:tabs>
        <w:tab w:val="clear" w:pos="4680"/>
        <w:tab w:val="left" w:pos="1557"/>
        <w:tab w:val="center" w:pos="4685"/>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0039"/>
    <w:multiLevelType w:val="hybridMultilevel"/>
    <w:tmpl w:val="61D46648"/>
    <w:lvl w:ilvl="0" w:tplc="6BF86FE8">
      <w:numFmt w:val="bullet"/>
      <w:lvlText w:val=""/>
      <w:lvlJc w:val="left"/>
      <w:pPr>
        <w:ind w:left="1947" w:hanging="356"/>
      </w:pPr>
      <w:rPr>
        <w:rFonts w:ascii="Symbol" w:eastAsia="Symbol" w:hAnsi="Symbol" w:cs="Symbol" w:hint="default"/>
        <w:b w:val="0"/>
        <w:bCs w:val="0"/>
        <w:i w:val="0"/>
        <w:iCs w:val="0"/>
        <w:color w:val="585858"/>
        <w:spacing w:val="0"/>
        <w:w w:val="100"/>
        <w:sz w:val="22"/>
        <w:szCs w:val="22"/>
        <w:lang w:val="en-US" w:eastAsia="en-US" w:bidi="ar-SA"/>
      </w:rPr>
    </w:lvl>
    <w:lvl w:ilvl="1" w:tplc="A9AE2794">
      <w:numFmt w:val="bullet"/>
      <w:lvlText w:val=""/>
      <w:lvlJc w:val="left"/>
      <w:pPr>
        <w:ind w:left="2674" w:hanging="360"/>
      </w:pPr>
      <w:rPr>
        <w:rFonts w:ascii="Wingdings" w:eastAsia="Wingdings" w:hAnsi="Wingdings" w:cs="Wingdings" w:hint="default"/>
        <w:b w:val="0"/>
        <w:bCs w:val="0"/>
        <w:i w:val="0"/>
        <w:iCs w:val="0"/>
        <w:color w:val="1F487C"/>
        <w:spacing w:val="0"/>
        <w:w w:val="100"/>
        <w:sz w:val="22"/>
        <w:szCs w:val="22"/>
        <w:lang w:val="en-US" w:eastAsia="en-US" w:bidi="ar-SA"/>
      </w:rPr>
    </w:lvl>
    <w:lvl w:ilvl="2" w:tplc="C69491F2">
      <w:numFmt w:val="bullet"/>
      <w:lvlText w:val="•"/>
      <w:lvlJc w:val="left"/>
      <w:pPr>
        <w:ind w:left="3563" w:hanging="360"/>
      </w:pPr>
      <w:rPr>
        <w:rFonts w:hint="default"/>
        <w:lang w:val="en-US" w:eastAsia="en-US" w:bidi="ar-SA"/>
      </w:rPr>
    </w:lvl>
    <w:lvl w:ilvl="3" w:tplc="54F251B6">
      <w:numFmt w:val="bullet"/>
      <w:lvlText w:val="•"/>
      <w:lvlJc w:val="left"/>
      <w:pPr>
        <w:ind w:left="4447" w:hanging="360"/>
      </w:pPr>
      <w:rPr>
        <w:rFonts w:hint="default"/>
        <w:lang w:val="en-US" w:eastAsia="en-US" w:bidi="ar-SA"/>
      </w:rPr>
    </w:lvl>
    <w:lvl w:ilvl="4" w:tplc="2AB4923E">
      <w:numFmt w:val="bullet"/>
      <w:lvlText w:val="•"/>
      <w:lvlJc w:val="left"/>
      <w:pPr>
        <w:ind w:left="5330" w:hanging="360"/>
      </w:pPr>
      <w:rPr>
        <w:rFonts w:hint="default"/>
        <w:lang w:val="en-US" w:eastAsia="en-US" w:bidi="ar-SA"/>
      </w:rPr>
    </w:lvl>
    <w:lvl w:ilvl="5" w:tplc="B76055DC">
      <w:numFmt w:val="bullet"/>
      <w:lvlText w:val="•"/>
      <w:lvlJc w:val="left"/>
      <w:pPr>
        <w:ind w:left="6214" w:hanging="360"/>
      </w:pPr>
      <w:rPr>
        <w:rFonts w:hint="default"/>
        <w:lang w:val="en-US" w:eastAsia="en-US" w:bidi="ar-SA"/>
      </w:rPr>
    </w:lvl>
    <w:lvl w:ilvl="6" w:tplc="2C24E4FC">
      <w:numFmt w:val="bullet"/>
      <w:lvlText w:val="•"/>
      <w:lvlJc w:val="left"/>
      <w:pPr>
        <w:ind w:left="7098" w:hanging="360"/>
      </w:pPr>
      <w:rPr>
        <w:rFonts w:hint="default"/>
        <w:lang w:val="en-US" w:eastAsia="en-US" w:bidi="ar-SA"/>
      </w:rPr>
    </w:lvl>
    <w:lvl w:ilvl="7" w:tplc="46B4DCF4">
      <w:numFmt w:val="bullet"/>
      <w:lvlText w:val="•"/>
      <w:lvlJc w:val="left"/>
      <w:pPr>
        <w:ind w:left="7981" w:hanging="360"/>
      </w:pPr>
      <w:rPr>
        <w:rFonts w:hint="default"/>
        <w:lang w:val="en-US" w:eastAsia="en-US" w:bidi="ar-SA"/>
      </w:rPr>
    </w:lvl>
    <w:lvl w:ilvl="8" w:tplc="0A0EFBD4">
      <w:numFmt w:val="bullet"/>
      <w:lvlText w:val="•"/>
      <w:lvlJc w:val="left"/>
      <w:pPr>
        <w:ind w:left="8865" w:hanging="360"/>
      </w:pPr>
      <w:rPr>
        <w:rFonts w:hint="default"/>
        <w:lang w:val="en-US" w:eastAsia="en-US" w:bidi="ar-SA"/>
      </w:rPr>
    </w:lvl>
  </w:abstractNum>
  <w:abstractNum w:abstractNumId="1" w15:restartNumberingAfterBreak="0">
    <w:nsid w:val="021469AB"/>
    <w:multiLevelType w:val="multilevel"/>
    <w:tmpl w:val="4338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81674"/>
    <w:multiLevelType w:val="multilevel"/>
    <w:tmpl w:val="358C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123B71"/>
    <w:multiLevelType w:val="hybridMultilevel"/>
    <w:tmpl w:val="4D647752"/>
    <w:lvl w:ilvl="0" w:tplc="09820B7C">
      <w:numFmt w:val="bullet"/>
      <w:lvlText w:val=""/>
      <w:lvlJc w:val="left"/>
      <w:pPr>
        <w:ind w:left="878" w:hanging="356"/>
      </w:pPr>
      <w:rPr>
        <w:rFonts w:ascii="Symbol" w:eastAsia="Symbol" w:hAnsi="Symbol" w:cs="Symbol" w:hint="default"/>
        <w:b w:val="0"/>
        <w:bCs w:val="0"/>
        <w:i w:val="0"/>
        <w:iCs w:val="0"/>
        <w:color w:val="585858"/>
        <w:spacing w:val="0"/>
        <w:w w:val="100"/>
        <w:sz w:val="22"/>
        <w:szCs w:val="22"/>
        <w:lang w:val="en-US" w:eastAsia="en-US" w:bidi="ar-SA"/>
      </w:rPr>
    </w:lvl>
    <w:lvl w:ilvl="1" w:tplc="0922C932">
      <w:numFmt w:val="bullet"/>
      <w:lvlText w:val="•"/>
      <w:lvlJc w:val="left"/>
      <w:pPr>
        <w:ind w:left="2220" w:hanging="356"/>
      </w:pPr>
      <w:rPr>
        <w:rFonts w:hint="default"/>
        <w:lang w:val="en-US" w:eastAsia="en-US" w:bidi="ar-SA"/>
      </w:rPr>
    </w:lvl>
    <w:lvl w:ilvl="2" w:tplc="30860BF8">
      <w:numFmt w:val="bullet"/>
      <w:lvlText w:val="•"/>
      <w:lvlJc w:val="left"/>
      <w:pPr>
        <w:ind w:left="3561" w:hanging="356"/>
      </w:pPr>
      <w:rPr>
        <w:rFonts w:hint="default"/>
        <w:lang w:val="en-US" w:eastAsia="en-US" w:bidi="ar-SA"/>
      </w:rPr>
    </w:lvl>
    <w:lvl w:ilvl="3" w:tplc="7982CAF6">
      <w:numFmt w:val="bullet"/>
      <w:lvlText w:val="•"/>
      <w:lvlJc w:val="left"/>
      <w:pPr>
        <w:ind w:left="4902" w:hanging="356"/>
      </w:pPr>
      <w:rPr>
        <w:rFonts w:hint="default"/>
        <w:lang w:val="en-US" w:eastAsia="en-US" w:bidi="ar-SA"/>
      </w:rPr>
    </w:lvl>
    <w:lvl w:ilvl="4" w:tplc="D63E8ADC">
      <w:numFmt w:val="bullet"/>
      <w:lvlText w:val="•"/>
      <w:lvlJc w:val="left"/>
      <w:pPr>
        <w:ind w:left="6243" w:hanging="356"/>
      </w:pPr>
      <w:rPr>
        <w:rFonts w:hint="default"/>
        <w:lang w:val="en-US" w:eastAsia="en-US" w:bidi="ar-SA"/>
      </w:rPr>
    </w:lvl>
    <w:lvl w:ilvl="5" w:tplc="B9081034">
      <w:numFmt w:val="bullet"/>
      <w:lvlText w:val="•"/>
      <w:lvlJc w:val="left"/>
      <w:pPr>
        <w:ind w:left="7584" w:hanging="356"/>
      </w:pPr>
      <w:rPr>
        <w:rFonts w:hint="default"/>
        <w:lang w:val="en-US" w:eastAsia="en-US" w:bidi="ar-SA"/>
      </w:rPr>
    </w:lvl>
    <w:lvl w:ilvl="6" w:tplc="192C1BE6">
      <w:numFmt w:val="bullet"/>
      <w:lvlText w:val="•"/>
      <w:lvlJc w:val="left"/>
      <w:pPr>
        <w:ind w:left="8925" w:hanging="356"/>
      </w:pPr>
      <w:rPr>
        <w:rFonts w:hint="default"/>
        <w:lang w:val="en-US" w:eastAsia="en-US" w:bidi="ar-SA"/>
      </w:rPr>
    </w:lvl>
    <w:lvl w:ilvl="7" w:tplc="ABC2D9E6">
      <w:numFmt w:val="bullet"/>
      <w:lvlText w:val="•"/>
      <w:lvlJc w:val="left"/>
      <w:pPr>
        <w:ind w:left="10265" w:hanging="356"/>
      </w:pPr>
      <w:rPr>
        <w:rFonts w:hint="default"/>
        <w:lang w:val="en-US" w:eastAsia="en-US" w:bidi="ar-SA"/>
      </w:rPr>
    </w:lvl>
    <w:lvl w:ilvl="8" w:tplc="F6E688F6">
      <w:numFmt w:val="bullet"/>
      <w:lvlText w:val="•"/>
      <w:lvlJc w:val="left"/>
      <w:pPr>
        <w:ind w:left="11606" w:hanging="356"/>
      </w:pPr>
      <w:rPr>
        <w:rFonts w:hint="default"/>
        <w:lang w:val="en-US" w:eastAsia="en-US" w:bidi="ar-SA"/>
      </w:rPr>
    </w:lvl>
  </w:abstractNum>
  <w:abstractNum w:abstractNumId="4" w15:restartNumberingAfterBreak="0">
    <w:nsid w:val="53A36022"/>
    <w:multiLevelType w:val="hybridMultilevel"/>
    <w:tmpl w:val="890E5392"/>
    <w:lvl w:ilvl="0" w:tplc="7D0A4AAE">
      <w:numFmt w:val="bullet"/>
      <w:lvlText w:val=""/>
      <w:lvlJc w:val="left"/>
      <w:pPr>
        <w:ind w:left="1661" w:hanging="358"/>
      </w:pPr>
      <w:rPr>
        <w:rFonts w:ascii="Symbol" w:eastAsia="Symbol" w:hAnsi="Symbol" w:cs="Symbol" w:hint="default"/>
        <w:b w:val="0"/>
        <w:bCs w:val="0"/>
        <w:i w:val="0"/>
        <w:iCs w:val="0"/>
        <w:color w:val="585858"/>
        <w:spacing w:val="0"/>
        <w:w w:val="100"/>
        <w:sz w:val="22"/>
        <w:szCs w:val="22"/>
        <w:lang w:val="en-US" w:eastAsia="en-US" w:bidi="ar-SA"/>
      </w:rPr>
    </w:lvl>
    <w:lvl w:ilvl="1" w:tplc="82742318">
      <w:numFmt w:val="bullet"/>
      <w:lvlText w:val=""/>
      <w:lvlJc w:val="left"/>
      <w:pPr>
        <w:ind w:left="1954" w:hanging="356"/>
      </w:pPr>
      <w:rPr>
        <w:rFonts w:ascii="Symbol" w:eastAsia="Symbol" w:hAnsi="Symbol" w:cs="Symbol" w:hint="default"/>
        <w:b w:val="0"/>
        <w:bCs w:val="0"/>
        <w:i w:val="0"/>
        <w:iCs w:val="0"/>
        <w:color w:val="585858"/>
        <w:spacing w:val="0"/>
        <w:w w:val="100"/>
        <w:sz w:val="22"/>
        <w:szCs w:val="22"/>
        <w:lang w:val="en-US" w:eastAsia="en-US" w:bidi="ar-SA"/>
      </w:rPr>
    </w:lvl>
    <w:lvl w:ilvl="2" w:tplc="9C3E5F18">
      <w:numFmt w:val="bullet"/>
      <w:lvlText w:val=""/>
      <w:lvlJc w:val="left"/>
      <w:pPr>
        <w:ind w:left="2367" w:hanging="360"/>
      </w:pPr>
      <w:rPr>
        <w:rFonts w:ascii="Wingdings" w:eastAsia="Wingdings" w:hAnsi="Wingdings" w:cs="Wingdings" w:hint="default"/>
        <w:b w:val="0"/>
        <w:bCs w:val="0"/>
        <w:i w:val="0"/>
        <w:iCs w:val="0"/>
        <w:color w:val="1F487C"/>
        <w:spacing w:val="0"/>
        <w:w w:val="100"/>
        <w:sz w:val="22"/>
        <w:szCs w:val="22"/>
        <w:lang w:val="en-US" w:eastAsia="en-US" w:bidi="ar-SA"/>
      </w:rPr>
    </w:lvl>
    <w:lvl w:ilvl="3" w:tplc="94A27EB6">
      <w:numFmt w:val="bullet"/>
      <w:lvlText w:val="•"/>
      <w:lvlJc w:val="left"/>
      <w:pPr>
        <w:ind w:left="3394" w:hanging="360"/>
      </w:pPr>
      <w:rPr>
        <w:rFonts w:hint="default"/>
        <w:lang w:val="en-US" w:eastAsia="en-US" w:bidi="ar-SA"/>
      </w:rPr>
    </w:lvl>
    <w:lvl w:ilvl="4" w:tplc="A300ABD4">
      <w:numFmt w:val="bullet"/>
      <w:lvlText w:val="•"/>
      <w:lvlJc w:val="left"/>
      <w:pPr>
        <w:ind w:left="4428" w:hanging="360"/>
      </w:pPr>
      <w:rPr>
        <w:rFonts w:hint="default"/>
        <w:lang w:val="en-US" w:eastAsia="en-US" w:bidi="ar-SA"/>
      </w:rPr>
    </w:lvl>
    <w:lvl w:ilvl="5" w:tplc="6C56983A">
      <w:numFmt w:val="bullet"/>
      <w:lvlText w:val="•"/>
      <w:lvlJc w:val="left"/>
      <w:pPr>
        <w:ind w:left="5462" w:hanging="360"/>
      </w:pPr>
      <w:rPr>
        <w:rFonts w:hint="default"/>
        <w:lang w:val="en-US" w:eastAsia="en-US" w:bidi="ar-SA"/>
      </w:rPr>
    </w:lvl>
    <w:lvl w:ilvl="6" w:tplc="6AA0DC00">
      <w:numFmt w:val="bullet"/>
      <w:lvlText w:val="•"/>
      <w:lvlJc w:val="left"/>
      <w:pPr>
        <w:ind w:left="6496" w:hanging="360"/>
      </w:pPr>
      <w:rPr>
        <w:rFonts w:hint="default"/>
        <w:lang w:val="en-US" w:eastAsia="en-US" w:bidi="ar-SA"/>
      </w:rPr>
    </w:lvl>
    <w:lvl w:ilvl="7" w:tplc="6F9C1798">
      <w:numFmt w:val="bullet"/>
      <w:lvlText w:val="•"/>
      <w:lvlJc w:val="left"/>
      <w:pPr>
        <w:ind w:left="7530" w:hanging="360"/>
      </w:pPr>
      <w:rPr>
        <w:rFonts w:hint="default"/>
        <w:lang w:val="en-US" w:eastAsia="en-US" w:bidi="ar-SA"/>
      </w:rPr>
    </w:lvl>
    <w:lvl w:ilvl="8" w:tplc="908A64FE">
      <w:numFmt w:val="bullet"/>
      <w:lvlText w:val="•"/>
      <w:lvlJc w:val="left"/>
      <w:pPr>
        <w:ind w:left="8564" w:hanging="360"/>
      </w:pPr>
      <w:rPr>
        <w:rFonts w:hint="default"/>
        <w:lang w:val="en-US" w:eastAsia="en-US" w:bidi="ar-SA"/>
      </w:rPr>
    </w:lvl>
  </w:abstractNum>
  <w:abstractNum w:abstractNumId="5" w15:restartNumberingAfterBreak="0">
    <w:nsid w:val="6ADB10E9"/>
    <w:multiLevelType w:val="hybridMultilevel"/>
    <w:tmpl w:val="E278A49E"/>
    <w:lvl w:ilvl="0" w:tplc="F1E45D9E">
      <w:numFmt w:val="bullet"/>
      <w:lvlText w:val=""/>
      <w:lvlJc w:val="left"/>
      <w:pPr>
        <w:ind w:left="1947" w:hanging="356"/>
      </w:pPr>
      <w:rPr>
        <w:rFonts w:ascii="Symbol" w:eastAsia="Symbol" w:hAnsi="Symbol" w:cs="Symbol" w:hint="default"/>
        <w:b w:val="0"/>
        <w:bCs w:val="0"/>
        <w:i w:val="0"/>
        <w:iCs w:val="0"/>
        <w:color w:val="585858"/>
        <w:spacing w:val="0"/>
        <w:w w:val="100"/>
        <w:sz w:val="22"/>
        <w:szCs w:val="22"/>
        <w:lang w:val="en-US" w:eastAsia="en-US" w:bidi="ar-SA"/>
      </w:rPr>
    </w:lvl>
    <w:lvl w:ilvl="1" w:tplc="DEF4CE80">
      <w:numFmt w:val="bullet"/>
      <w:lvlText w:val="•"/>
      <w:lvlJc w:val="left"/>
      <w:pPr>
        <w:ind w:left="2809" w:hanging="356"/>
      </w:pPr>
      <w:rPr>
        <w:rFonts w:hint="default"/>
        <w:lang w:val="en-US" w:eastAsia="en-US" w:bidi="ar-SA"/>
      </w:rPr>
    </w:lvl>
    <w:lvl w:ilvl="2" w:tplc="A8C29428">
      <w:numFmt w:val="bullet"/>
      <w:lvlText w:val="•"/>
      <w:lvlJc w:val="left"/>
      <w:pPr>
        <w:ind w:left="3678" w:hanging="356"/>
      </w:pPr>
      <w:rPr>
        <w:rFonts w:hint="default"/>
        <w:lang w:val="en-US" w:eastAsia="en-US" w:bidi="ar-SA"/>
      </w:rPr>
    </w:lvl>
    <w:lvl w:ilvl="3" w:tplc="7034E5CE">
      <w:numFmt w:val="bullet"/>
      <w:lvlText w:val="•"/>
      <w:lvlJc w:val="left"/>
      <w:pPr>
        <w:ind w:left="4547" w:hanging="356"/>
      </w:pPr>
      <w:rPr>
        <w:rFonts w:hint="default"/>
        <w:lang w:val="en-US" w:eastAsia="en-US" w:bidi="ar-SA"/>
      </w:rPr>
    </w:lvl>
    <w:lvl w:ilvl="4" w:tplc="D148438E">
      <w:numFmt w:val="bullet"/>
      <w:lvlText w:val="•"/>
      <w:lvlJc w:val="left"/>
      <w:pPr>
        <w:ind w:left="5416" w:hanging="356"/>
      </w:pPr>
      <w:rPr>
        <w:rFonts w:hint="default"/>
        <w:lang w:val="en-US" w:eastAsia="en-US" w:bidi="ar-SA"/>
      </w:rPr>
    </w:lvl>
    <w:lvl w:ilvl="5" w:tplc="ED2EB792">
      <w:numFmt w:val="bullet"/>
      <w:lvlText w:val="•"/>
      <w:lvlJc w:val="left"/>
      <w:pPr>
        <w:ind w:left="6286" w:hanging="356"/>
      </w:pPr>
      <w:rPr>
        <w:rFonts w:hint="default"/>
        <w:lang w:val="en-US" w:eastAsia="en-US" w:bidi="ar-SA"/>
      </w:rPr>
    </w:lvl>
    <w:lvl w:ilvl="6" w:tplc="F4389E02">
      <w:numFmt w:val="bullet"/>
      <w:lvlText w:val="•"/>
      <w:lvlJc w:val="left"/>
      <w:pPr>
        <w:ind w:left="7155" w:hanging="356"/>
      </w:pPr>
      <w:rPr>
        <w:rFonts w:hint="default"/>
        <w:lang w:val="en-US" w:eastAsia="en-US" w:bidi="ar-SA"/>
      </w:rPr>
    </w:lvl>
    <w:lvl w:ilvl="7" w:tplc="611CC484">
      <w:numFmt w:val="bullet"/>
      <w:lvlText w:val="•"/>
      <w:lvlJc w:val="left"/>
      <w:pPr>
        <w:ind w:left="8024" w:hanging="356"/>
      </w:pPr>
      <w:rPr>
        <w:rFonts w:hint="default"/>
        <w:lang w:val="en-US" w:eastAsia="en-US" w:bidi="ar-SA"/>
      </w:rPr>
    </w:lvl>
    <w:lvl w:ilvl="8" w:tplc="A40E4FF8">
      <w:numFmt w:val="bullet"/>
      <w:lvlText w:val="•"/>
      <w:lvlJc w:val="left"/>
      <w:pPr>
        <w:ind w:left="8893" w:hanging="356"/>
      </w:pPr>
      <w:rPr>
        <w:rFonts w:hint="default"/>
        <w:lang w:val="en-US" w:eastAsia="en-US" w:bidi="ar-SA"/>
      </w:rPr>
    </w:lvl>
  </w:abstractNum>
  <w:abstractNum w:abstractNumId="6" w15:restartNumberingAfterBreak="0">
    <w:nsid w:val="6EE22662"/>
    <w:multiLevelType w:val="hybridMultilevel"/>
    <w:tmpl w:val="8968C35E"/>
    <w:lvl w:ilvl="0" w:tplc="90CA3644">
      <w:numFmt w:val="bullet"/>
      <w:lvlText w:val=""/>
      <w:lvlJc w:val="left"/>
      <w:pPr>
        <w:ind w:left="460" w:hanging="360"/>
      </w:pPr>
      <w:rPr>
        <w:rFonts w:ascii="Symbol" w:eastAsia="Symbol" w:hAnsi="Symbol" w:cs="Symbol" w:hint="default"/>
        <w:b w:val="0"/>
        <w:bCs w:val="0"/>
        <w:i w:val="0"/>
        <w:iCs w:val="0"/>
        <w:color w:val="585858"/>
        <w:spacing w:val="0"/>
        <w:w w:val="100"/>
        <w:sz w:val="22"/>
        <w:szCs w:val="22"/>
        <w:lang w:val="en-US" w:eastAsia="en-US" w:bidi="ar-SA"/>
      </w:rPr>
    </w:lvl>
    <w:lvl w:ilvl="1" w:tplc="40AC7522">
      <w:numFmt w:val="bullet"/>
      <w:lvlText w:val=""/>
      <w:lvlJc w:val="left"/>
      <w:pPr>
        <w:ind w:left="813" w:hanging="356"/>
      </w:pPr>
      <w:rPr>
        <w:rFonts w:ascii="Symbol" w:eastAsia="Symbol" w:hAnsi="Symbol" w:cs="Symbol" w:hint="default"/>
        <w:b w:val="0"/>
        <w:bCs w:val="0"/>
        <w:i w:val="0"/>
        <w:iCs w:val="0"/>
        <w:color w:val="585858"/>
        <w:spacing w:val="0"/>
        <w:w w:val="100"/>
        <w:sz w:val="22"/>
        <w:szCs w:val="22"/>
        <w:lang w:val="en-US" w:eastAsia="en-US" w:bidi="ar-SA"/>
      </w:rPr>
    </w:lvl>
    <w:lvl w:ilvl="2" w:tplc="F8C64AE6">
      <w:numFmt w:val="bullet"/>
      <w:lvlText w:val="•"/>
      <w:lvlJc w:val="left"/>
      <w:pPr>
        <w:ind w:left="1674" w:hanging="356"/>
      </w:pPr>
      <w:rPr>
        <w:rFonts w:hint="default"/>
        <w:lang w:val="en-US" w:eastAsia="en-US" w:bidi="ar-SA"/>
      </w:rPr>
    </w:lvl>
    <w:lvl w:ilvl="3" w:tplc="EFE25DC6">
      <w:numFmt w:val="bullet"/>
      <w:lvlText w:val="•"/>
      <w:lvlJc w:val="left"/>
      <w:pPr>
        <w:ind w:left="2528" w:hanging="356"/>
      </w:pPr>
      <w:rPr>
        <w:rFonts w:hint="default"/>
        <w:lang w:val="en-US" w:eastAsia="en-US" w:bidi="ar-SA"/>
      </w:rPr>
    </w:lvl>
    <w:lvl w:ilvl="4" w:tplc="ED184D30">
      <w:numFmt w:val="bullet"/>
      <w:lvlText w:val="•"/>
      <w:lvlJc w:val="left"/>
      <w:pPr>
        <w:ind w:left="3382" w:hanging="356"/>
      </w:pPr>
      <w:rPr>
        <w:rFonts w:hint="default"/>
        <w:lang w:val="en-US" w:eastAsia="en-US" w:bidi="ar-SA"/>
      </w:rPr>
    </w:lvl>
    <w:lvl w:ilvl="5" w:tplc="9F24D462">
      <w:numFmt w:val="bullet"/>
      <w:lvlText w:val="•"/>
      <w:lvlJc w:val="left"/>
      <w:pPr>
        <w:ind w:left="4236" w:hanging="356"/>
      </w:pPr>
      <w:rPr>
        <w:rFonts w:hint="default"/>
        <w:lang w:val="en-US" w:eastAsia="en-US" w:bidi="ar-SA"/>
      </w:rPr>
    </w:lvl>
    <w:lvl w:ilvl="6" w:tplc="60DC6DC6">
      <w:numFmt w:val="bullet"/>
      <w:lvlText w:val="•"/>
      <w:lvlJc w:val="left"/>
      <w:pPr>
        <w:ind w:left="5090" w:hanging="356"/>
      </w:pPr>
      <w:rPr>
        <w:rFonts w:hint="default"/>
        <w:lang w:val="en-US" w:eastAsia="en-US" w:bidi="ar-SA"/>
      </w:rPr>
    </w:lvl>
    <w:lvl w:ilvl="7" w:tplc="E0EE855E">
      <w:numFmt w:val="bullet"/>
      <w:lvlText w:val="•"/>
      <w:lvlJc w:val="left"/>
      <w:pPr>
        <w:ind w:left="5944" w:hanging="356"/>
      </w:pPr>
      <w:rPr>
        <w:rFonts w:hint="default"/>
        <w:lang w:val="en-US" w:eastAsia="en-US" w:bidi="ar-SA"/>
      </w:rPr>
    </w:lvl>
    <w:lvl w:ilvl="8" w:tplc="09461C68">
      <w:numFmt w:val="bullet"/>
      <w:lvlText w:val="•"/>
      <w:lvlJc w:val="left"/>
      <w:pPr>
        <w:ind w:left="6798" w:hanging="356"/>
      </w:pPr>
      <w:rPr>
        <w:rFonts w:hint="default"/>
        <w:lang w:val="en-US" w:eastAsia="en-US" w:bidi="ar-SA"/>
      </w:rPr>
    </w:lvl>
  </w:abstractNum>
  <w:abstractNum w:abstractNumId="7" w15:restartNumberingAfterBreak="0">
    <w:nsid w:val="7205083D"/>
    <w:multiLevelType w:val="multilevel"/>
    <w:tmpl w:val="78D2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2F5696"/>
    <w:multiLevelType w:val="multilevel"/>
    <w:tmpl w:val="183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405808">
    <w:abstractNumId w:val="3"/>
  </w:num>
  <w:num w:numId="2" w16cid:durableId="1309749829">
    <w:abstractNumId w:val="4"/>
  </w:num>
  <w:num w:numId="3" w16cid:durableId="1020200046">
    <w:abstractNumId w:val="0"/>
  </w:num>
  <w:num w:numId="4" w16cid:durableId="2024672873">
    <w:abstractNumId w:val="5"/>
  </w:num>
  <w:num w:numId="5" w16cid:durableId="1877892930">
    <w:abstractNumId w:val="6"/>
  </w:num>
  <w:num w:numId="6" w16cid:durableId="653530973">
    <w:abstractNumId w:val="8"/>
  </w:num>
  <w:num w:numId="7" w16cid:durableId="1876000522">
    <w:abstractNumId w:val="1"/>
  </w:num>
  <w:num w:numId="8" w16cid:durableId="122500238">
    <w:abstractNumId w:val="2"/>
  </w:num>
  <w:num w:numId="9" w16cid:durableId="72699897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Wesselmann">
    <w15:presenceInfo w15:providerId="AD" w15:userId="S::nwesselmann@cookgrouplegal.com::2305858f-8798-4e41-a403-a2ca22e5b7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C58"/>
    <w:rsid w:val="000103AF"/>
    <w:rsid w:val="000405A3"/>
    <w:rsid w:val="00044FFF"/>
    <w:rsid w:val="00047A88"/>
    <w:rsid w:val="00096622"/>
    <w:rsid w:val="000A3E63"/>
    <w:rsid w:val="000B029F"/>
    <w:rsid w:val="000C0BD1"/>
    <w:rsid w:val="000C147E"/>
    <w:rsid w:val="000E3098"/>
    <w:rsid w:val="000F4BFD"/>
    <w:rsid w:val="00140F11"/>
    <w:rsid w:val="001871F1"/>
    <w:rsid w:val="001B1D69"/>
    <w:rsid w:val="001B2069"/>
    <w:rsid w:val="001C4E09"/>
    <w:rsid w:val="001D6054"/>
    <w:rsid w:val="00202557"/>
    <w:rsid w:val="00203277"/>
    <w:rsid w:val="00226B68"/>
    <w:rsid w:val="002310EA"/>
    <w:rsid w:val="002400D6"/>
    <w:rsid w:val="0026753A"/>
    <w:rsid w:val="00281D8F"/>
    <w:rsid w:val="002A482B"/>
    <w:rsid w:val="002D5C48"/>
    <w:rsid w:val="00304D64"/>
    <w:rsid w:val="00313BB2"/>
    <w:rsid w:val="00330C96"/>
    <w:rsid w:val="003441F9"/>
    <w:rsid w:val="00347E0A"/>
    <w:rsid w:val="003B44AE"/>
    <w:rsid w:val="003F10DD"/>
    <w:rsid w:val="004314A0"/>
    <w:rsid w:val="00434EFF"/>
    <w:rsid w:val="004634DB"/>
    <w:rsid w:val="00472377"/>
    <w:rsid w:val="00477C90"/>
    <w:rsid w:val="004801F6"/>
    <w:rsid w:val="004D0709"/>
    <w:rsid w:val="005349F5"/>
    <w:rsid w:val="00536B6F"/>
    <w:rsid w:val="00544669"/>
    <w:rsid w:val="00551BD2"/>
    <w:rsid w:val="005B4C58"/>
    <w:rsid w:val="00607291"/>
    <w:rsid w:val="00621A61"/>
    <w:rsid w:val="006254D4"/>
    <w:rsid w:val="00640F86"/>
    <w:rsid w:val="00646A18"/>
    <w:rsid w:val="00650A0E"/>
    <w:rsid w:val="006B0401"/>
    <w:rsid w:val="006B6626"/>
    <w:rsid w:val="006D63B8"/>
    <w:rsid w:val="006E0751"/>
    <w:rsid w:val="006E2060"/>
    <w:rsid w:val="006E6B9A"/>
    <w:rsid w:val="006F3CA6"/>
    <w:rsid w:val="007651FE"/>
    <w:rsid w:val="00771494"/>
    <w:rsid w:val="00772B7F"/>
    <w:rsid w:val="00777B6B"/>
    <w:rsid w:val="007859C0"/>
    <w:rsid w:val="0079284E"/>
    <w:rsid w:val="007B3A9E"/>
    <w:rsid w:val="007D0F30"/>
    <w:rsid w:val="007E5C68"/>
    <w:rsid w:val="00825CB2"/>
    <w:rsid w:val="008562DD"/>
    <w:rsid w:val="008778E9"/>
    <w:rsid w:val="008928A7"/>
    <w:rsid w:val="008B15E9"/>
    <w:rsid w:val="00900872"/>
    <w:rsid w:val="00995873"/>
    <w:rsid w:val="009A488E"/>
    <w:rsid w:val="009A52BF"/>
    <w:rsid w:val="009C2DCB"/>
    <w:rsid w:val="009C50DC"/>
    <w:rsid w:val="009D1719"/>
    <w:rsid w:val="009E0A26"/>
    <w:rsid w:val="009E5D73"/>
    <w:rsid w:val="009E7872"/>
    <w:rsid w:val="00A069DC"/>
    <w:rsid w:val="00A365BB"/>
    <w:rsid w:val="00A53AD9"/>
    <w:rsid w:val="00A5720F"/>
    <w:rsid w:val="00A93FDA"/>
    <w:rsid w:val="00AE6F78"/>
    <w:rsid w:val="00B06621"/>
    <w:rsid w:val="00B23E8E"/>
    <w:rsid w:val="00B26A11"/>
    <w:rsid w:val="00B30D6D"/>
    <w:rsid w:val="00B31728"/>
    <w:rsid w:val="00B65B58"/>
    <w:rsid w:val="00BB3FC9"/>
    <w:rsid w:val="00BF03E7"/>
    <w:rsid w:val="00C45838"/>
    <w:rsid w:val="00C506E0"/>
    <w:rsid w:val="00C521EB"/>
    <w:rsid w:val="00C60FEF"/>
    <w:rsid w:val="00C7447C"/>
    <w:rsid w:val="00C91426"/>
    <w:rsid w:val="00CA40D8"/>
    <w:rsid w:val="00CA6C43"/>
    <w:rsid w:val="00CC620E"/>
    <w:rsid w:val="00CD587D"/>
    <w:rsid w:val="00CF5252"/>
    <w:rsid w:val="00CF71D0"/>
    <w:rsid w:val="00D123FB"/>
    <w:rsid w:val="00D55BFB"/>
    <w:rsid w:val="00D5611A"/>
    <w:rsid w:val="00D56824"/>
    <w:rsid w:val="00D829D2"/>
    <w:rsid w:val="00D950B1"/>
    <w:rsid w:val="00D9670D"/>
    <w:rsid w:val="00DB1C16"/>
    <w:rsid w:val="00DC679D"/>
    <w:rsid w:val="00DE60C3"/>
    <w:rsid w:val="00DF6127"/>
    <w:rsid w:val="00E26442"/>
    <w:rsid w:val="00E6167C"/>
    <w:rsid w:val="00E639F5"/>
    <w:rsid w:val="00E6790A"/>
    <w:rsid w:val="00E85F2E"/>
    <w:rsid w:val="00ED02B7"/>
    <w:rsid w:val="00ED7D0A"/>
    <w:rsid w:val="00EF5FCD"/>
    <w:rsid w:val="00F023C2"/>
    <w:rsid w:val="00F10C1D"/>
    <w:rsid w:val="00F32CD2"/>
    <w:rsid w:val="00F378A8"/>
    <w:rsid w:val="00F57373"/>
    <w:rsid w:val="00F86057"/>
    <w:rsid w:val="00FC5B7C"/>
    <w:rsid w:val="00FD6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CC6A37"/>
  <w15:docId w15:val="{CF25505E-322B-40A5-81F2-B583D3255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7"/>
      <w:ind w:left="100"/>
      <w:outlineLvl w:val="0"/>
    </w:pPr>
    <w:rPr>
      <w:b/>
      <w:bCs/>
      <w:sz w:val="32"/>
      <w:szCs w:val="32"/>
    </w:rPr>
  </w:style>
  <w:style w:type="paragraph" w:styleId="Heading2">
    <w:name w:val="heading 2"/>
    <w:basedOn w:val="Normal"/>
    <w:uiPriority w:val="9"/>
    <w:unhideWhenUsed/>
    <w:qFormat/>
    <w:pPr>
      <w:ind w:left="100"/>
      <w:outlineLvl w:val="1"/>
    </w:pPr>
    <w:rPr>
      <w:b/>
      <w:bCs/>
      <w:sz w:val="24"/>
      <w:szCs w:val="24"/>
    </w:rPr>
  </w:style>
  <w:style w:type="paragraph" w:styleId="Heading3">
    <w:name w:val="heading 3"/>
    <w:basedOn w:val="Normal"/>
    <w:uiPriority w:val="9"/>
    <w:unhideWhenUsed/>
    <w:qFormat/>
    <w:pPr>
      <w:ind w:left="1234"/>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7"/>
      <w:ind w:left="100"/>
    </w:pPr>
  </w:style>
  <w:style w:type="paragraph" w:styleId="TOC2">
    <w:name w:val="toc 2"/>
    <w:basedOn w:val="Normal"/>
    <w:uiPriority w:val="1"/>
    <w:qFormat/>
    <w:pPr>
      <w:spacing w:before="227"/>
      <w:ind w:left="100"/>
    </w:pPr>
  </w:style>
  <w:style w:type="paragraph" w:styleId="BodyText">
    <w:name w:val="Body Text"/>
    <w:basedOn w:val="Normal"/>
    <w:uiPriority w:val="1"/>
    <w:qFormat/>
  </w:style>
  <w:style w:type="paragraph" w:styleId="Title">
    <w:name w:val="Title"/>
    <w:basedOn w:val="Normal"/>
    <w:uiPriority w:val="10"/>
    <w:qFormat/>
    <w:pPr>
      <w:jc w:val="center"/>
    </w:pPr>
    <w:rPr>
      <w:b/>
      <w:bCs/>
      <w:sz w:val="40"/>
      <w:szCs w:val="40"/>
    </w:rPr>
  </w:style>
  <w:style w:type="paragraph" w:styleId="ListParagraph">
    <w:name w:val="List Paragraph"/>
    <w:basedOn w:val="Normal"/>
    <w:uiPriority w:val="1"/>
    <w:qFormat/>
    <w:pPr>
      <w:ind w:left="1947" w:hanging="360"/>
    </w:pPr>
  </w:style>
  <w:style w:type="paragraph" w:customStyle="1" w:styleId="TableParagraph">
    <w:name w:val="Table Paragraph"/>
    <w:basedOn w:val="Normal"/>
    <w:uiPriority w:val="1"/>
    <w:qFormat/>
    <w:pPr>
      <w:jc w:val="center"/>
    </w:pPr>
  </w:style>
  <w:style w:type="character" w:styleId="Hyperlink">
    <w:name w:val="Hyperlink"/>
    <w:basedOn w:val="DefaultParagraphFont"/>
    <w:uiPriority w:val="99"/>
    <w:unhideWhenUsed/>
    <w:rsid w:val="00472377"/>
    <w:rPr>
      <w:color w:val="0000FF" w:themeColor="hyperlink"/>
      <w:u w:val="single"/>
    </w:rPr>
  </w:style>
  <w:style w:type="character" w:styleId="UnresolvedMention">
    <w:name w:val="Unresolved Mention"/>
    <w:basedOn w:val="DefaultParagraphFont"/>
    <w:uiPriority w:val="99"/>
    <w:semiHidden/>
    <w:unhideWhenUsed/>
    <w:rsid w:val="00472377"/>
    <w:rPr>
      <w:color w:val="605E5C"/>
      <w:shd w:val="clear" w:color="auto" w:fill="E1DFDD"/>
    </w:rPr>
  </w:style>
  <w:style w:type="paragraph" w:styleId="Header">
    <w:name w:val="header"/>
    <w:basedOn w:val="Normal"/>
    <w:link w:val="HeaderChar"/>
    <w:uiPriority w:val="99"/>
    <w:unhideWhenUsed/>
    <w:rsid w:val="00551BD2"/>
    <w:pPr>
      <w:tabs>
        <w:tab w:val="center" w:pos="4680"/>
        <w:tab w:val="right" w:pos="9360"/>
      </w:tabs>
    </w:pPr>
  </w:style>
  <w:style w:type="character" w:customStyle="1" w:styleId="HeaderChar">
    <w:name w:val="Header Char"/>
    <w:basedOn w:val="DefaultParagraphFont"/>
    <w:link w:val="Header"/>
    <w:uiPriority w:val="99"/>
    <w:rsid w:val="00551BD2"/>
    <w:rPr>
      <w:rFonts w:ascii="Arial" w:eastAsia="Arial" w:hAnsi="Arial" w:cs="Arial"/>
    </w:rPr>
  </w:style>
  <w:style w:type="paragraph" w:styleId="Footer">
    <w:name w:val="footer"/>
    <w:basedOn w:val="Normal"/>
    <w:link w:val="FooterChar"/>
    <w:uiPriority w:val="99"/>
    <w:unhideWhenUsed/>
    <w:rsid w:val="00551BD2"/>
    <w:pPr>
      <w:tabs>
        <w:tab w:val="center" w:pos="4680"/>
        <w:tab w:val="right" w:pos="9360"/>
      </w:tabs>
    </w:pPr>
  </w:style>
  <w:style w:type="character" w:customStyle="1" w:styleId="FooterChar">
    <w:name w:val="Footer Char"/>
    <w:basedOn w:val="DefaultParagraphFont"/>
    <w:link w:val="Footer"/>
    <w:uiPriority w:val="99"/>
    <w:rsid w:val="00551BD2"/>
    <w:rPr>
      <w:rFonts w:ascii="Arial" w:eastAsia="Arial" w:hAnsi="Arial" w:cs="Arial"/>
    </w:rPr>
  </w:style>
  <w:style w:type="paragraph" w:styleId="Revision">
    <w:name w:val="Revision"/>
    <w:hidden/>
    <w:uiPriority w:val="99"/>
    <w:semiHidden/>
    <w:rsid w:val="00E6790A"/>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E26442"/>
    <w:rPr>
      <w:sz w:val="16"/>
      <w:szCs w:val="16"/>
    </w:rPr>
  </w:style>
  <w:style w:type="paragraph" w:styleId="CommentText">
    <w:name w:val="annotation text"/>
    <w:basedOn w:val="Normal"/>
    <w:link w:val="CommentTextChar"/>
    <w:uiPriority w:val="99"/>
    <w:unhideWhenUsed/>
    <w:rsid w:val="00E26442"/>
    <w:rPr>
      <w:sz w:val="20"/>
      <w:szCs w:val="20"/>
    </w:rPr>
  </w:style>
  <w:style w:type="character" w:customStyle="1" w:styleId="CommentTextChar">
    <w:name w:val="Comment Text Char"/>
    <w:basedOn w:val="DefaultParagraphFont"/>
    <w:link w:val="CommentText"/>
    <w:uiPriority w:val="99"/>
    <w:rsid w:val="00E26442"/>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E26442"/>
    <w:rPr>
      <w:b/>
      <w:bCs/>
    </w:rPr>
  </w:style>
  <w:style w:type="character" w:customStyle="1" w:styleId="CommentSubjectChar">
    <w:name w:val="Comment Subject Char"/>
    <w:basedOn w:val="CommentTextChar"/>
    <w:link w:val="CommentSubject"/>
    <w:uiPriority w:val="99"/>
    <w:semiHidden/>
    <w:rsid w:val="00E26442"/>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comments" Target="comments.xml"/><Relationship Id="rId26" Type="http://schemas.openxmlformats.org/officeDocument/2006/relationships/image" Target="media/image10.png"/><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4.png"/><Relationship Id="rId20" Type="http://schemas.microsoft.com/office/2016/09/relationships/commentsIds" Target="commentsIds.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yperlink" Target="mailto:khannemann@cookgrouplegal.com" TargetMode="External"/><Relationship Id="rId19" Type="http://schemas.microsoft.com/office/2011/relationships/commentsExtended" Target="commentsExtended.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mailto:kcook@cookgrouplegal.com" TargetMode="Externa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595D5B-970F-46F9-BBA2-DF332A022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3445</Words>
  <Characters>19639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בן</dc:creator>
  <cp:lastModifiedBy>Noah Oliphant</cp:lastModifiedBy>
  <cp:revision>2</cp:revision>
  <dcterms:created xsi:type="dcterms:W3CDTF">2026-02-11T18:01:00Z</dcterms:created>
  <dcterms:modified xsi:type="dcterms:W3CDTF">2026-02-11T18:01:00Z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2015-04-20T00:00:00Z</vt:filetime>
  </property>
  <property fmtid="{D5CDD505-2E9C-101B-9397-08002B2CF9AE}" pid="3" name="Creator">
    <vt:lpwstr>Microsoft® Word 2010</vt:lpwstr>
  </property>
  <property fmtid="{D5CDD505-2E9C-101B-9397-08002B2CF9AE}" pid="4" name="LastSaved">
    <vt:filetime>2026-02-03T00:00:00Z</vt:filetime>
  </property>
  <property fmtid="{D5CDD505-2E9C-101B-9397-08002B2CF9AE}" pid="5" name="Producer">
    <vt:lpwstr>Microsoft® Word 2010</vt:lpwstr>
  </property>
</Properties>
</file>