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70"/>
      </w:pPr>
      <w:r>
        <w:rPr>
          <w:rFonts w:ascii="Calibri" w:cs="Calibri" w:eastAsia="Calibri" w:hAnsi="Calibri"/>
          <w:b/>
          <w:bCs/>
          <w:color w:val="F4762B"/>
          <w:sz w:val="23"/>
          <w:szCs w:val="23"/>
        </w:rPr>
        <w:t xml:space="preserve">1.0  </w:t>
      </w:r>
      <w:r>
        <w:rPr>
          <w:rFonts w:ascii="Calibri" w:cs="Calibri" w:eastAsia="Calibri" w:hAnsi="Calibri"/>
          <w:b/>
          <w:bCs/>
          <w:color w:val="1C2B39"/>
          <w:sz w:val="23"/>
          <w:szCs w:val="23"/>
        </w:rPr>
        <w:t xml:space="preserve">Two Things Are Settled Regardless of Hardware</w:t>
      </w:r>
    </w:p>
    <w:p>
      <w:pPr>
        <w:spacing w:after="90"/>
      </w:pPr>
      <w:r>
        <w:rPr>
          <w:rFonts w:ascii="Calibri" w:cs="Calibri" w:eastAsia="Calibri" w:hAnsi="Calibri"/>
          <w:sz w:val="20"/>
          <w:szCs w:val="20"/>
        </w:rPr>
        <w:t xml:space="preserve">This document plans an internal Seaway application that drives up to about thirty displays. Displays are organised into groups: some groups hold several displays showing the same rotating content, others hold a single display showing its own distinct rotation. Content is on-prem and continuously updating. Each display rotates through multiple pages, and at least one of those pages needs to keep updating in near real time even while it is not the one currently on screen. This is a confirmed requirement, not a nice-to-have — the second display deployed is expected to need it.</w:t>
      </w:r>
    </w:p>
    <w:p>
      <w:pPr>
        <w:pStyle w:val="ListParagraph"/>
        <w:numPr>
          <w:ilvl w:val="0"/>
          <w:numId w:val="2"/>
        </w:numPr>
        <w:spacing w:after="35"/>
      </w:pPr>
      <w:r>
        <w:rPr>
          <w:rFonts w:ascii="Calibri" w:cs="Calibri" w:eastAsia="Calibri" w:hAnsi="Calibri"/>
          <w:sz w:val="20"/>
          <w:szCs w:val="20"/>
        </w:rPr>
        <w:t xml:space="preserve">Content and device are separate concerns. Whatever plays the content needs to be managed remotely — reboot, health, what is this thing showing — and that management should live in one console, not be scattered across a vendor app, an admin UI and a spreadsheet.</w:t>
      </w:r>
    </w:p>
    <w:p>
      <w:pPr>
        <w:pStyle w:val="ListParagraph"/>
        <w:numPr>
          <w:ilvl w:val="0"/>
          <w:numId w:val="2"/>
        </w:numPr>
        <w:spacing w:after="35"/>
      </w:pPr>
      <w:r>
        <w:rPr>
          <w:rFonts w:ascii="Calibri" w:cs="Calibri" w:eastAsia="Calibri" w:hAnsi="Calibri"/>
          <w:sz w:val="20"/>
          <w:szCs w:val="20"/>
        </w:rPr>
        <w:t xml:space="preserve">All grouping, rotation, scheduling and content routing happens inside our own on-prem app. No hardware option supports pushing new content as a device-native feature; every path ends with the same shape: a permanently-kiosked browser pointed at one URL, and our app decides what appears behind that URL.</w:t>
      </w:r>
    </w:p>
    <w:p>
      <w:pPr>
        <w:spacing w:after="90"/>
      </w:pPr>
      <w:r>
        <w:rPr>
          <w:rFonts w:ascii="Calibri" w:cs="Calibri" w:eastAsia="Calibri" w:hAnsi="Calibri"/>
          <w:sz w:val="20"/>
          <w:szCs w:val="20"/>
        </w:rPr>
        <w:t xml:space="preserve">What differs by hardware is who controls the device plane — us, or a vendor we have to ask nicely. That is the whole comparison in section 2.0.</w:t>
      </w:r>
    </w:p>
    <w:p>
      <w:pPr>
        <w:spacing w:after="70" w:before="170"/>
      </w:pPr>
      <w:r>
        <w:rPr>
          <w:rFonts w:ascii="Calibri" w:cs="Calibri" w:eastAsia="Calibri" w:hAnsi="Calibri"/>
          <w:b/>
          <w:bCs/>
          <w:color w:val="F4762B"/>
          <w:sz w:val="23"/>
          <w:szCs w:val="23"/>
        </w:rPr>
        <w:t xml:space="preserve">2.0  </w:t>
      </w:r>
      <w:r>
        <w:rPr>
          <w:rFonts w:ascii="Calibri" w:cs="Calibri" w:eastAsia="Calibri" w:hAnsi="Calibri"/>
          <w:b/>
          <w:bCs/>
          <w:color w:val="1C2B39"/>
          <w:sz w:val="23"/>
          <w:szCs w:val="23"/>
        </w:rPr>
        <w:t xml:space="preserve">Hardware &amp; Platform Comparison</w:t>
      </w:r>
    </w:p>
    <w:p>
      <w:pPr>
        <w:spacing w:after="90"/>
      </w:pPr>
      <w:r>
        <w:rPr>
          <w:rFonts w:ascii="Calibri" w:cs="Calibri" w:eastAsia="Calibri" w:hAnsi="Calibri"/>
          <w:sz w:val="20"/>
          <w:szCs w:val="20"/>
        </w:rPr>
        <w:t xml:space="preserve">Two real options were evaluated: the Amazon Signage Stick, the original starting point, and a Raspberry Pi running Chromium in kiosk mode. Both can show a website full-screen; they differ sharply in who holds the keys.</w:t>
      </w:r>
    </w:p>
    <w:p>
      <w:pPr>
        <w:spacing w:after="50" w:before="110"/>
      </w:pPr>
      <w:r>
        <w:rPr>
          <w:rFonts w:ascii="Calibri" w:cs="Calibri" w:eastAsia="Calibri" w:hAnsi="Calibri"/>
          <w:b/>
          <w:bCs/>
          <w:color w:val="F4762B"/>
          <w:sz w:val="20"/>
          <w:szCs w:val="20"/>
        </w:rPr>
        <w:t xml:space="preserve">2.1  </w:t>
      </w:r>
      <w:r>
        <w:rPr>
          <w:rFonts w:ascii="Calibri" w:cs="Calibri" w:eastAsia="Calibri" w:hAnsi="Calibri"/>
          <w:b/>
          <w:bCs/>
          <w:color w:val="1C2B39"/>
          <w:sz w:val="20"/>
          <w:szCs w:val="20"/>
        </w:rPr>
        <w:t xml:space="preserve">Amazon Signage Stick</w:t>
      </w:r>
    </w:p>
    <w:p>
      <w:pPr>
        <w:spacing w:after="90" w:before="60"/>
      </w:pPr>
      <w:r>
        <w:rPr>
          <w:rFonts w:ascii="Calibri" w:cs="Calibri" w:eastAsia="Calibri" w:hAnsi="Calibri"/>
          <w:b/>
          <w:bCs/>
          <w:color w:val="F4762B"/>
          <w:sz w:val="20"/>
          <w:szCs w:val="20"/>
        </w:rPr>
        <w:t xml:space="preserve">Advantages — </w:t>
      </w:r>
      <w:r>
        <w:rPr>
          <w:rFonts w:ascii="Calibri" w:cs="Calibri" w:eastAsia="Calibri" w:hAnsi="Calibri"/>
          <w:sz w:val="20"/>
          <w:szCs w:val="20"/>
        </w:rPr>
        <w:t xml:space="preserve">Purpose-built signage hardware — one SKU, no component sourcing or assembly. Kiosk mode is an OS-level feature Amazon has already hardened, so we do not build or maintain that hardening ourselves. A vendor support and replacement channel exists. If Remote Management API access is obtained, device control — power, reboot, orientation, telemetry — ships without us building or operating that layer. Simple physical install for non-technical staff: HDMI and power, nothing to configure by hand.</w:t>
      </w:r>
    </w:p>
    <w:p>
      <w:pPr>
        <w:spacing w:after="90" w:before="0"/>
      </w:pPr>
      <w:r>
        <w:rPr>
          <w:rFonts w:ascii="Calibri" w:cs="Calibri" w:eastAsia="Calibri" w:hAnsi="Calibri"/>
          <w:b/>
          <w:bCs/>
          <w:color w:val="F4762B"/>
          <w:sz w:val="20"/>
          <w:szCs w:val="20"/>
        </w:rPr>
        <w:t xml:space="preserve">Disadvantages — </w:t>
      </w:r>
      <w:r>
        <w:rPr>
          <w:rFonts w:ascii="Calibri" w:cs="Calibri" w:eastAsia="Calibri" w:hAnsi="Calibri"/>
          <w:sz w:val="20"/>
          <w:szCs w:val="20"/>
        </w:rPr>
        <w:t xml:space="preserve">The Remote Management API is documented as available to approved CMS providers. We are an end customer, not a CMS vendor, and eligibility is genuinely unresolved. Without it there is no remote reboot, no telemetry, no OS-level control at all — see section 9.2. The device is a locked-down webview: no root, no way to install our own certificate authority, no way to tune Chromium's memory behaviour for multi-page rotation, no way to add our own watchdog or restart logic. Amazon's Fire TV line is mid-migration to Vega OS, which does not run Android APKs — a live platform-roadmap risk entirely outside our control. Third-party or open-source player software on the stick is unconfirmed; at best it is a Phase 0 experiment, not something to plan around. Unit and any signage-service pricing were not fully resolved during this research and should be treated as another open figure, not assumed.</w:t>
      </w:r>
    </w:p>
    <w:p>
      <w:pPr>
        <w:spacing w:after="50" w:before="110"/>
      </w:pPr>
      <w:r>
        <w:rPr>
          <w:rFonts w:ascii="Calibri" w:cs="Calibri" w:eastAsia="Calibri" w:hAnsi="Calibri"/>
          <w:b/>
          <w:bCs/>
          <w:color w:val="F4762B"/>
          <w:sz w:val="20"/>
          <w:szCs w:val="20"/>
        </w:rPr>
        <w:t xml:space="preserve">2.2  </w:t>
      </w:r>
      <w:r>
        <w:rPr>
          <w:rFonts w:ascii="Calibri" w:cs="Calibri" w:eastAsia="Calibri" w:hAnsi="Calibri"/>
          <w:b/>
          <w:bCs/>
          <w:color w:val="1C2B39"/>
          <w:sz w:val="20"/>
          <w:szCs w:val="20"/>
        </w:rPr>
        <w:t xml:space="preserve">Raspberry Pi (Chromium kiosk)</w:t>
      </w:r>
    </w:p>
    <w:p>
      <w:pPr>
        <w:spacing w:after="90" w:before="60"/>
      </w:pPr>
      <w:r>
        <w:rPr>
          <w:rFonts w:ascii="Calibri" w:cs="Calibri" w:eastAsia="Calibri" w:hAnsi="Calibri"/>
          <w:b/>
          <w:bCs/>
          <w:color w:val="F4762B"/>
          <w:sz w:val="20"/>
          <w:szCs w:val="20"/>
        </w:rPr>
        <w:t xml:space="preserve">Advantages — </w:t>
      </w:r>
      <w:r>
        <w:rPr>
          <w:rFonts w:ascii="Calibri" w:cs="Calibri" w:eastAsia="Calibri" w:hAnsi="Calibri"/>
          <w:sz w:val="20"/>
          <w:szCs w:val="20"/>
        </w:rPr>
        <w:t xml:space="preserve">We hold root. Device-plane management — reboot, restart the browser, health telemetry — is simply an extension of the same on-prem agent built for the content plane: one console, no vendor gate, no eligibility risk. No exposure to Amazon's Fire TV or Vega OS roadmap, since this is our hardware, not theirs. Full control of the TLS trust store, so the internal-hostname certificate risk in section 9.2 does not apply. Full control of Chromium's tuning for rotation — which pages stay warm, memory and GPU flags, a restart watchdog. Full control of boot media, so a USB SSD can be used instead of inheriting a vendor's storage decision. Free, open-source fleet tooling fits Seaway's on-prem, no-subscription posture. Materially cheaper hardware once RAM pricing settles, with no recurring vendor CMS or API fee.</w:t>
      </w:r>
    </w:p>
    <w:p>
      <w:pPr>
        <w:spacing w:after="90" w:before="0"/>
      </w:pPr>
      <w:r>
        <w:rPr>
          <w:rFonts w:ascii="Calibri" w:cs="Calibri" w:eastAsia="Calibri" w:hAnsi="Calibri"/>
          <w:b/>
          <w:bCs/>
          <w:color w:val="F4762B"/>
          <w:sz w:val="20"/>
          <w:szCs w:val="20"/>
        </w:rPr>
        <w:t xml:space="preserve">Disadvantages — </w:t>
      </w:r>
      <w:r>
        <w:rPr>
          <w:rFonts w:ascii="Calibri" w:cs="Calibri" w:eastAsia="Calibri" w:hAnsi="Calibri"/>
          <w:sz w:val="20"/>
          <w:szCs w:val="20"/>
        </w:rPr>
        <w:t xml:space="preserve">We own the whole stack — OS hardening, security patching, kiosk configuration — with no vendor support line if a board fails, though boards are cheap and quickly swappable. Procurement at thirty-unit scale means sourcing boards, cases, power supplies and storage ourselves rather than ordering one SKU. We have to build the OS-level agent commands ourselves; small in scope, but real scope the Signage Stick path would have gotten for free if its API were obtainable. Chromium's own multi-day memory creep is real and needs an operational mitigation regardless of RAM tier — owning root makes this manageable, but does not make it disappear. RAM pricing is genuinely volatile right now, so least expensive is a moving target that needs a live quote before thirty units are ordered.</w:t>
      </w:r>
    </w:p>
    <w:p>
      <w:pPr>
        <w:spacing w:after="50" w:before="110"/>
      </w:pPr>
      <w:r>
        <w:rPr>
          <w:rFonts w:ascii="Calibri" w:cs="Calibri" w:eastAsia="Calibri" w:hAnsi="Calibri"/>
          <w:b/>
          <w:bCs/>
          <w:color w:val="F4762B"/>
          <w:sz w:val="20"/>
          <w:szCs w:val="20"/>
        </w:rPr>
        <w:t xml:space="preserve">2.3  </w:t>
      </w:r>
      <w:r>
        <w:rPr>
          <w:rFonts w:ascii="Calibri" w:cs="Calibri" w:eastAsia="Calibri" w:hAnsi="Calibri"/>
          <w:b/>
          <w:bCs/>
          <w:color w:val="1C2B39"/>
          <w:sz w:val="20"/>
          <w:szCs w:val="20"/>
        </w:rPr>
        <w:t xml:space="preserve">Which Raspberry Pi — the No-Compromise Floor</w:t>
      </w:r>
    </w:p>
    <w:p>
      <w:pPr>
        <w:spacing w:after="90"/>
      </w:pPr>
      <w:r>
        <w:rPr>
          <w:rFonts w:ascii="Calibri" w:cs="Calibri" w:eastAsia="Calibri" w:hAnsi="Calibri"/>
          <w:sz w:val="20"/>
          <w:szCs w:val="20"/>
        </w:rPr>
        <w:t xml:space="preserve">Rotating through multiple pages, at least one of which is still updating while off-screen, means keeping more than one Chromium renderer process warm at once. That sets a real RAM floor, not a preference.</w:t>
      </w:r>
    </w:p>
    <w:p>
      <w:pPr>
        <w:pStyle w:val="ListParagraph"/>
        <w:numPr>
          <w:ilvl w:val="0"/>
          <w:numId w:val="2"/>
        </w:numPr>
        <w:spacing w:after="35"/>
      </w:pPr>
      <w:r>
        <w:rPr>
          <w:rFonts w:ascii="Calibri" w:cs="Calibri" w:eastAsia="Calibri" w:hAnsi="Calibri"/>
          <w:sz w:val="20"/>
          <w:szCs w:val="20"/>
        </w:rPr>
        <w:t xml:space="preserve">Chromium itself warns that it is not recommended on devices with less than 1GB of RAM. Below that is not a judgment call.</w:t>
      </w:r>
    </w:p>
    <w:p>
      <w:pPr>
        <w:pStyle w:val="ListParagraph"/>
        <w:numPr>
          <w:ilvl w:val="0"/>
          <w:numId w:val="2"/>
        </w:numPr>
        <w:spacing w:after="35"/>
      </w:pPr>
      <w:r>
        <w:rPr>
          <w:rFonts w:ascii="Calibri" w:cs="Calibri" w:eastAsia="Calibri" w:hAnsi="Calibri"/>
          <w:sz w:val="20"/>
          <w:szCs w:val="20"/>
        </w:rPr>
        <w:t xml:space="preserve">On an 8GB Pi 4, bare Chromium already uses over 512MB before a single tab is open; several tabs kept warm for a few days are reported to exhaust available RAM without mitigation.</w:t>
      </w:r>
    </w:p>
    <w:p>
      <w:pPr>
        <w:pStyle w:val="ListParagraph"/>
        <w:numPr>
          <w:ilvl w:val="0"/>
          <w:numId w:val="2"/>
        </w:numPr>
        <w:spacing w:after="35"/>
      </w:pPr>
      <w:r>
        <w:rPr>
          <w:rFonts w:ascii="Calibri" w:cs="Calibri" w:eastAsia="Calibri" w:hAnsi="Calibri"/>
          <w:sz w:val="20"/>
          <w:szCs w:val="20"/>
        </w:rPr>
        <w:t xml:space="preserve">Signage-specific guidance splits consistently at the same line: 2GB is called sufficient for a simple rotating kiosk, but 4GB is where multiple warm tabs and heavier content are comfortable rather than tightly managed.</w:t>
      </w:r>
    </w:p>
    <w:p>
      <w:pPr>
        <w:spacing w:after="35" w:before="60"/>
      </w:pPr>
      <w:r>
        <w:rPr>
          <w:rFonts w:ascii="Calibri" w:cs="Calibri" w:eastAsia="Calibri" w:hAnsi="Calibri"/>
          <w:b/>
          <w:bCs/>
          <w:i/>
          <w:iCs/>
          <w:sz w:val="20"/>
          <w:szCs w:val="20"/>
        </w:rPr>
        <w:t xml:space="preserve">Table 1 — Board RAM tiers against the rotation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cantSplit/>
          <w:tblHeader/>
        </w:trPr>
        <w:tc>
          <w:tcPr>
            <w:tcW w:type="dxa" w:w="24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Board</w:t>
            </w:r>
          </w:p>
        </w:tc>
        <w:tc>
          <w:tcPr>
            <w:tcW w:type="dxa" w:w="12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RAM</w:t>
            </w:r>
          </w:p>
        </w:tc>
        <w:tc>
          <w:tcPr>
            <w:tcW w:type="dxa" w:w="576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Verdict</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Pi Zero 2 W</w:t>
            </w:r>
          </w:p>
        </w:tc>
        <w:tc>
          <w:tcPr>
            <w:tcW w:type="dxa" w:w="12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512MB</w:t>
            </w:r>
          </w:p>
        </w:tc>
        <w:tc>
          <w:tcPr>
            <w:tcW w:type="dxa" w:w="57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Ruled out — below Chromium's own supported floor.</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Pi 3B+</w:t>
            </w:r>
          </w:p>
        </w:tc>
        <w:tc>
          <w:tcPr>
            <w:tcW w:type="dxa" w:w="12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1GB</w:t>
            </w:r>
          </w:p>
        </w:tc>
        <w:tc>
          <w:tcPr>
            <w:tcW w:type="dxa" w:w="57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At the edge multiple sources call marginal; weaker GPU for smooth page transitions. Not a no-compromise pick.</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Pi 4 Model B</w:t>
            </w:r>
          </w:p>
        </w:tc>
        <w:tc>
          <w:tcPr>
            <w:tcW w:type="dxa" w:w="12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2GB</w:t>
            </w:r>
          </w:p>
        </w:tc>
        <w:tc>
          <w:tcPr>
            <w:tcW w:type="dxa" w:w="57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Workable for a single navigating page. Not the target — multi-tab headroom is where sources stop crediting it.</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Pi 4 Model B or Pi 5</w:t>
            </w:r>
          </w:p>
        </w:tc>
        <w:tc>
          <w:tcPr>
            <w:tcW w:type="dxa" w:w="12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4GB</w:t>
            </w:r>
          </w:p>
        </w:tc>
        <w:tc>
          <w:tcPr>
            <w:tcW w:type="dxa" w:w="57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Recommended floor. The point where rotation with warm, live-updating tabs is comfortable rather than managed.</w:t>
            </w:r>
          </w:p>
        </w:tc>
      </w:tr>
    </w:tbl>
    <w:p>
      <w:pPr>
        <w:spacing w:after="90"/>
      </w:pPr>
      <w:r>
        <w:rPr>
          <w:rFonts w:ascii="Calibri" w:cs="Calibri" w:eastAsia="Calibri" w:hAnsi="Calibri"/>
          <w:sz w:val="20"/>
          <w:szCs w:val="20"/>
        </w:rPr>
        <w:t xml:space="preserve">Recommendation: Raspberry Pi 4 Model B (4GB) or Raspberry Pi 5 (4GB). The Pi 5 has a meaningfully faster CPU and newer GPU, further reducing stutter risk on page switches, for similar or only slightly higher cost depending on the week purchased.</w:t>
      </w:r>
    </w:p>
    <w:p>
      <w:pPr>
        <w:spacing w:after="90"/>
      </w:pPr>
      <w:r>
        <w:rPr>
          <w:rFonts w:ascii="Calibri" w:cs="Calibri" w:eastAsia="Calibri" w:hAnsi="Calibri"/>
          <w:sz w:val="20"/>
          <w:szCs w:val="20"/>
        </w:rPr>
        <w:t xml:space="preserve">Live pricing caveat, not hedging — this is sourced and current: Pi RAM pricing is genuinely volatile. A DRAM shortage has driven memory-driven price rises across every Pi 4/5 SKU with 2GB or more of RAM — the Pi 5 16GB variant moved from $120 to $205 in a matter of months. The 1GB variant is the only SKU Raspberry Pi has explicitly protected at $45, and it fails the technical floor above regardless of price. Get a live quote before locking the SKU across thirty units — the Pi 4 versus Pi 5 price gap at the 4GB tier could be a few dollars or could be inverted by purchase time.</w:t>
      </w:r>
    </w:p>
    <w:p>
      <w:pPr>
        <w:spacing w:after="90"/>
      </w:pPr>
      <w:r>
        <w:rPr>
          <w:rFonts w:ascii="Calibri" w:cs="Calibri" w:eastAsia="Calibri" w:hAnsi="Calibri"/>
          <w:sz w:val="20"/>
          <w:szCs w:val="20"/>
        </w:rPr>
        <w:t xml:space="preserve">Boot media, while specifying hardware: boot from a small USB SSD, roughly fifteen to twenty dollars per unit, not microSD. SD card corruption under twenty-four-hour write load is the most commonly reported real-world failure mode for always-on kiosk Pis — unrelated to the rotation requirement, but squarely in no-compromise territory for a thirty-unit fleet that has to stay up unattended.</w:t>
      </w:r>
    </w:p>
    <w:p>
      <w:pPr>
        <w:spacing w:after="50" w:before="110"/>
      </w:pPr>
      <w:r>
        <w:rPr>
          <w:rFonts w:ascii="Calibri" w:cs="Calibri" w:eastAsia="Calibri" w:hAnsi="Calibri"/>
          <w:b/>
          <w:bCs/>
          <w:color w:val="F4762B"/>
          <w:sz w:val="20"/>
          <w:szCs w:val="20"/>
        </w:rPr>
        <w:t xml:space="preserve">2.4  </w:t>
      </w:r>
      <w:r>
        <w:rPr>
          <w:rFonts w:ascii="Calibri" w:cs="Calibri" w:eastAsia="Calibri" w:hAnsi="Calibri"/>
          <w:b/>
          <w:bCs/>
          <w:color w:val="1C2B39"/>
          <w:sz w:val="20"/>
          <w:szCs w:val="20"/>
        </w:rPr>
        <w:t xml:space="preserve">Recommendation</w:t>
      </w:r>
    </w:p>
    <w:p>
      <w:pPr>
        <w:spacing w:after="90"/>
      </w:pPr>
      <w:r>
        <w:rPr>
          <w:rFonts w:ascii="Calibri" w:cs="Calibri" w:eastAsia="Calibri" w:hAnsi="Calibri"/>
          <w:sz w:val="20"/>
          <w:szCs w:val="20"/>
        </w:rPr>
        <w:t xml:space="preserve">Raspberry Pi 4 or 5 (4GB), Chromium kiosk, USB SSD boot. It removes the two largest risks in this plan outright — Remote Management API eligibility and locked-webview TLS trust, both in section 9.2 — by putting the device fully under our control, at the cost of owning OS maintenance ourselves. Given the confirmed rotation requirement and the fleet size, that trade favours the Pi. The rest of this document is written against the Pi path, with the Signage Stick's differences called out explicitly wherever they apply.</w:t>
      </w:r>
    </w:p>
    <w:p>
      <w:pPr>
        <w:spacing w:after="70" w:before="170"/>
      </w:pPr>
      <w:r>
        <w:rPr>
          <w:rFonts w:ascii="Calibri" w:cs="Calibri" w:eastAsia="Calibri" w:hAnsi="Calibri"/>
          <w:b/>
          <w:bCs/>
          <w:color w:val="F4762B"/>
          <w:sz w:val="23"/>
          <w:szCs w:val="23"/>
        </w:rPr>
        <w:t xml:space="preserve">3.0  </w:t>
      </w:r>
      <w:r>
        <w:rPr>
          <w:rFonts w:ascii="Calibri" w:cs="Calibri" w:eastAsia="Calibri" w:hAnsi="Calibri"/>
          <w:b/>
          <w:bCs/>
          <w:color w:val="1C2B39"/>
          <w:sz w:val="23"/>
          <w:szCs w:val="23"/>
        </w:rPr>
        <w:t xml:space="preserve">Architecture</w:t>
      </w:r>
    </w:p>
    <w:p>
      <w:pPr>
        <w:spacing w:after="50" w:before="110"/>
      </w:pPr>
      <w:r>
        <w:rPr>
          <w:rFonts w:ascii="Calibri" w:cs="Calibri" w:eastAsia="Calibri" w:hAnsi="Calibri"/>
          <w:b/>
          <w:bCs/>
          <w:color w:val="F4762B"/>
          <w:sz w:val="20"/>
          <w:szCs w:val="20"/>
        </w:rPr>
        <w:t xml:space="preserve">3.1  </w:t>
      </w:r>
      <w:r>
        <w:rPr>
          <w:rFonts w:ascii="Calibri" w:cs="Calibri" w:eastAsia="Calibri" w:hAnsi="Calibri"/>
          <w:b/>
          <w:bCs/>
          <w:color w:val="1C2B39"/>
          <w:sz w:val="20"/>
          <w:szCs w:val="20"/>
        </w:rPr>
        <w:t xml:space="preserve">Two Independent Planes, One Console</w:t>
      </w:r>
    </w:p>
    <w:p>
      <w:pPr>
        <w:spacing w:after="35" w:before="60"/>
      </w:pPr>
      <w:r>
        <w:rPr>
          <w:rFonts w:ascii="Calibri" w:cs="Calibri" w:eastAsia="Calibri" w:hAnsi="Calibri"/>
          <w:b/>
          <w:bCs/>
          <w:i/>
          <w:iCs/>
          <w:sz w:val="20"/>
          <w:szCs w:val="20"/>
        </w:rPr>
        <w:t xml:space="preserve">Table 2 — The two planes and their transports.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cantSplit/>
          <w:tblHeader/>
        </w:trPr>
        <w:tc>
          <w:tcPr>
            <w:tcW w:type="dxa" w:w="18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Plane</w:t>
            </w:r>
          </w:p>
        </w:tc>
        <w:tc>
          <w:tcPr>
            <w:tcW w:type="dxa" w:w="28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Transport</w:t>
            </w:r>
          </w:p>
        </w:tc>
        <w:tc>
          <w:tcPr>
            <w:tcW w:type="dxa" w:w="476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Purpose</w:t>
            </w:r>
          </w:p>
        </w:tc>
      </w:tr>
      <w:tr>
        <w:trPr>
          <w:cantSplit/>
          <w:tblHeader w:val="false"/>
        </w:trPr>
        <w:tc>
          <w:tcPr>
            <w:tcW w:type="dxa" w:w="18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Content</w:t>
            </w:r>
          </w:p>
        </w:tc>
        <w:tc>
          <w:tcPr>
            <w:tcW w:type="dxa" w:w="28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HTTPS and SSE, on-prem, LAN only</w:t>
            </w:r>
          </w:p>
        </w:tc>
        <w:tc>
          <w:tcPr>
            <w:tcW w:type="dxa" w:w="47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Which pages a display rotates through; group routing; near-real-time updates</w:t>
            </w:r>
          </w:p>
        </w:tc>
      </w:tr>
      <w:tr>
        <w:trPr>
          <w:cantSplit/>
          <w:tblHeader w:val="false"/>
        </w:trPr>
        <w:tc>
          <w:tcPr>
            <w:tcW w:type="dxa" w:w="18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Device</w:t>
            </w:r>
          </w:p>
        </w:tc>
        <w:tc>
          <w:tcPr>
            <w:tcW w:type="dxa" w:w="28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Same SSE channel, extended (Pi path)</w:t>
            </w:r>
          </w:p>
        </w:tc>
        <w:tc>
          <w:tcPr>
            <w:tcW w:type="dxa" w:w="47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Reboot, restart the browser, health telemetry</w:t>
            </w:r>
          </w:p>
        </w:tc>
      </w:tr>
    </w:tbl>
    <w:p>
      <w:pPr>
        <w:spacing w:after="90"/>
      </w:pPr>
      <w:r>
        <w:rPr>
          <w:rFonts w:ascii="Calibri" w:cs="Calibri" w:eastAsia="Calibri" w:hAnsi="Calibri"/>
          <w:sz w:val="20"/>
          <w:szCs w:val="20"/>
        </w:rPr>
        <w:t xml:space="preserve">On the Pi path these are genuinely one console — the same admin UI, the same connection to the device, no separate vendor dashboard. Section 7.0 covers this in detail. On the Signage Stick path they would have stayed split, with the device plane gated behind Amazon's API approval — this is the structural reason the Pi path was recommended in section 2.4.</w:t>
      </w:r>
    </w:p>
    <w:p>
      <w:pPr>
        <w:spacing w:after="50" w:before="110"/>
      </w:pPr>
      <w:r>
        <w:rPr>
          <w:rFonts w:ascii="Calibri" w:cs="Calibri" w:eastAsia="Calibri" w:hAnsi="Calibri"/>
          <w:b/>
          <w:bCs/>
          <w:color w:val="F4762B"/>
          <w:sz w:val="20"/>
          <w:szCs w:val="20"/>
        </w:rPr>
        <w:t xml:space="preserve">3.2  </w:t>
      </w:r>
      <w:r>
        <w:rPr>
          <w:rFonts w:ascii="Calibri" w:cs="Calibri" w:eastAsia="Calibri" w:hAnsi="Calibri"/>
          <w:b/>
          <w:bCs/>
          <w:color w:val="1C2B39"/>
          <w:sz w:val="20"/>
          <w:szCs w:val="20"/>
        </w:rPr>
        <w:t xml:space="preserve">The Player Shell</w:t>
      </w:r>
    </w:p>
    <w:p>
      <w:pPr>
        <w:spacing w:after="90"/>
      </w:pPr>
      <w:r>
        <w:rPr>
          <w:rFonts w:ascii="Calibri" w:cs="Calibri" w:eastAsia="Calibri" w:hAnsi="Calibri"/>
          <w:sz w:val="20"/>
          <w:szCs w:val="20"/>
        </w:rPr>
        <w:t xml:space="preserve">A single small page, identical for every display, is responsible for:</w:t>
      </w:r>
    </w:p>
    <w:p>
      <w:pPr>
        <w:pStyle w:val="ListParagraph"/>
        <w:numPr>
          <w:ilvl w:val="0"/>
          <w:numId w:val="2"/>
        </w:numPr>
        <w:spacing w:after="35"/>
      </w:pPr>
      <w:r>
        <w:rPr>
          <w:rFonts w:ascii="Calibri" w:cs="Calibri" w:eastAsia="Calibri" w:hAnsi="Calibri"/>
          <w:sz w:val="20"/>
          <w:szCs w:val="20"/>
        </w:rPr>
        <w:t xml:space="preserve">Identifying itself (section 4.0), then opening an SSE connection for control messages.</w:t>
      </w:r>
    </w:p>
    <w:p>
      <w:pPr>
        <w:pStyle w:val="ListParagraph"/>
        <w:numPr>
          <w:ilvl w:val="0"/>
          <w:numId w:val="2"/>
        </w:numPr>
        <w:spacing w:after="35"/>
      </w:pPr>
      <w:r>
        <w:rPr>
          <w:rFonts w:ascii="Calibri" w:cs="Calibri" w:eastAsia="Calibri" w:hAnsi="Calibri"/>
          <w:sz w:val="20"/>
          <w:szCs w:val="20"/>
        </w:rPr>
        <w:t xml:space="preserve">Rendering the current rotation as a sequence of panes: an iframe of an arbitrary URL, a screen rendered natively by the display-only app, a snapshot image for pages that refuse framing, or a static asset from Seaway.Storage.</w:t>
      </w:r>
    </w:p>
    <w:p>
      <w:pPr>
        <w:pStyle w:val="ListParagraph"/>
        <w:numPr>
          <w:ilvl w:val="0"/>
          <w:numId w:val="2"/>
        </w:numPr>
        <w:spacing w:after="35"/>
      </w:pPr>
      <w:r>
        <w:rPr>
          <w:rFonts w:ascii="Calibri" w:cs="Calibri" w:eastAsia="Calibri" w:hAnsi="Calibri"/>
          <w:sz w:val="20"/>
          <w:szCs w:val="20"/>
        </w:rPr>
        <w:t xml:space="preserve">Keeping the next pane or panes in the rotation warm rather than navigating fresh on every rotation — this is what avoids a blank flash and a stalled reconnect on pages still receiving live updates while off-screen, and is the direct consequence of the confirmed rotation requirement and the reason the hardware floor in section 2.3 is what it is.</w:t>
      </w:r>
    </w:p>
    <w:p>
      <w:pPr>
        <w:pStyle w:val="ListParagraph"/>
        <w:numPr>
          <w:ilvl w:val="0"/>
          <w:numId w:val="2"/>
        </w:numPr>
        <w:spacing w:after="35"/>
      </w:pPr>
      <w:r>
        <w:rPr>
          <w:rFonts w:ascii="Calibri" w:cs="Calibri" w:eastAsia="Calibri" w:hAnsi="Calibri"/>
          <w:sz w:val="20"/>
          <w:szCs w:val="20"/>
        </w:rPr>
        <w:t xml:space="preserve">Caching the last known-good rotation locally and continuing to render it when the server is unreachable. A dead server must never blank the screens. After a staleness window, the page shows a small, unobtrusive stale-data indicator.</w:t>
      </w:r>
    </w:p>
    <w:p>
      <w:pPr>
        <w:pStyle w:val="ListParagraph"/>
        <w:numPr>
          <w:ilvl w:val="0"/>
          <w:numId w:val="2"/>
        </w:numPr>
        <w:spacing w:after="35"/>
      </w:pPr>
      <w:r>
        <w:rPr>
          <w:rFonts w:ascii="Calibri" w:cs="Calibri" w:eastAsia="Calibri" w:hAnsi="Calibri"/>
          <w:sz w:val="20"/>
          <w:szCs w:val="20"/>
        </w:rPr>
        <w:t xml:space="preserve">Emitting a heartbeat every fifteen seconds, including basic device health on the Pi path — CPU temperature, disk, uptime — see section 7.0.</w:t>
      </w:r>
    </w:p>
    <w:p>
      <w:pPr>
        <w:spacing w:after="50" w:before="110"/>
      </w:pPr>
      <w:r>
        <w:rPr>
          <w:rFonts w:ascii="Calibri" w:cs="Calibri" w:eastAsia="Calibri" w:hAnsi="Calibri"/>
          <w:b/>
          <w:bCs/>
          <w:color w:val="F4762B"/>
          <w:sz w:val="20"/>
          <w:szCs w:val="20"/>
        </w:rPr>
        <w:t xml:space="preserve">3.3  </w:t>
      </w:r>
      <w:r>
        <w:rPr>
          <w:rFonts w:ascii="Calibri" w:cs="Calibri" w:eastAsia="Calibri" w:hAnsi="Calibri"/>
          <w:b/>
          <w:bCs/>
          <w:color w:val="1C2B39"/>
          <w:sz w:val="20"/>
          <w:szCs w:val="20"/>
        </w:rPr>
        <w:t xml:space="preserve">Near-Real-Time Updates</w:t>
      </w:r>
    </w:p>
    <w:p>
      <w:pPr>
        <w:spacing w:after="90"/>
      </w:pPr>
      <w:r>
        <w:rPr>
          <w:rFonts w:ascii="Calibri" w:cs="Calibri" w:eastAsia="Calibri" w:hAnsi="Calibri"/>
          <w:sz w:val="20"/>
          <w:szCs w:val="20"/>
        </w:rPr>
        <w:t xml:space="preserve">Server-Sent Events, not WebSockets. SSE is one-directional, server to display, which is exactly the shape of this problem. It reconnects automatically, survives reverse proxies, and needs no keepalive protocol of our own. Heartbeats travel separately as a lightweight POST, keeping the SSE stream purely server-to-client.</w:t>
      </w:r>
    </w:p>
    <w:p>
      <w:pPr>
        <w:spacing w:after="35" w:before="60"/>
      </w:pPr>
      <w:r>
        <w:rPr>
          <w:rFonts w:ascii="Calibri" w:cs="Calibri" w:eastAsia="Calibri" w:hAnsi="Calibri"/>
          <w:b/>
          <w:bCs/>
          <w:i/>
          <w:iCs/>
          <w:sz w:val="20"/>
          <w:szCs w:val="20"/>
        </w:rPr>
        <w:t xml:space="preserve">Table 3 — Control messages carried over the SSE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Message</w:t>
            </w:r>
          </w:p>
        </w:tc>
        <w:tc>
          <w:tcPr>
            <w:tcW w:type="dxa" w:w="696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Effect</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assign</w:t>
            </w:r>
          </w:p>
        </w:tc>
        <w:tc>
          <w:tcPr>
            <w:tcW w:type="dxa" w:w="69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New rotation version. The player diffs and swaps panes without a full reload.</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reload</w:t>
            </w:r>
          </w:p>
        </w:tc>
        <w:tc>
          <w:tcPr>
            <w:tcW w:type="dxa" w:w="69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Hard page reload. Use sparingly — it is visible on screen.</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identify</w:t>
            </w:r>
          </w:p>
        </w:tc>
        <w:tc>
          <w:tcPr>
            <w:tcW w:type="dxa" w:w="69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Flash the display's name full-screen for about ten seconds — how you physically find which screen is "Bindery 2".</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clear-cache</w:t>
            </w:r>
          </w:p>
        </w:tc>
        <w:tc>
          <w:tcPr>
            <w:tcW w:type="dxa" w:w="69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Drop local storage and re-fetch.</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ping</w:t>
            </w:r>
          </w:p>
        </w:tc>
        <w:tc>
          <w:tcPr>
            <w:tcW w:type="dxa" w:w="69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Liveness probe with a correlation identifier.</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reboot (Pi only)</w:t>
            </w:r>
          </w:p>
        </w:tc>
        <w:tc>
          <w:tcPr>
            <w:tcW w:type="dxa" w:w="69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Reboot the device — see section 7.0.</w:t>
            </w:r>
          </w:p>
        </w:tc>
      </w:tr>
      <w:tr>
        <w:trPr>
          <w:cantSplit/>
          <w:tblHeader w:val="false"/>
        </w:trPr>
        <w:tc>
          <w:tcPr>
            <w:tcW w:type="dxa" w:w="24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restart-browser (Pi only)</w:t>
            </w:r>
          </w:p>
        </w:tc>
        <w:tc>
          <w:tcPr>
            <w:tcW w:type="dxa" w:w="69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Restart Chromium without a full OS reboot — the routine remedy for memory creep, section 9.3.</w:t>
            </w:r>
          </w:p>
        </w:tc>
      </w:tr>
    </w:tbl>
    <w:p>
      <w:pPr>
        <w:spacing w:after="90" w:before="160"/>
      </w:pPr>
      <w:r>
        <w:rPr>
          <w:rFonts w:ascii="Calibri" w:cs="Calibri" w:eastAsia="Calibri" w:hAnsi="Calibri"/>
          <w:sz w:val="20"/>
          <w:szCs w:val="20"/>
        </w:rPr>
        <w:t xml:space="preserve">Freshness within a pane is a separate concern. A native pane subscribes to its own data feed; an iframe pane is the responsibility of the application inside it. The control plane governs which content is shown, not the data inside it.</w:t>
      </w:r>
    </w:p>
    <w:p>
      <w:pPr>
        <w:spacing w:after="70" w:before="170"/>
      </w:pPr>
      <w:r>
        <w:rPr>
          <w:rFonts w:ascii="Calibri" w:cs="Calibri" w:eastAsia="Calibri" w:hAnsi="Calibri"/>
          <w:b/>
          <w:bCs/>
          <w:color w:val="F4762B"/>
          <w:sz w:val="23"/>
          <w:szCs w:val="23"/>
        </w:rPr>
        <w:t xml:space="preserve">4.0  </w:t>
      </w:r>
      <w:r>
        <w:rPr>
          <w:rFonts w:ascii="Calibri" w:cs="Calibri" w:eastAsia="Calibri" w:hAnsi="Calibri"/>
          <w:b/>
          <w:bCs/>
          <w:color w:val="1C2B39"/>
          <w:sz w:val="23"/>
          <w:szCs w:val="23"/>
        </w:rPr>
        <w:t xml:space="preserve">Pairing</w:t>
      </w:r>
    </w:p>
    <w:p>
      <w:pPr>
        <w:spacing w:after="90"/>
      </w:pPr>
      <w:r>
        <w:rPr>
          <w:rFonts w:ascii="Calibri" w:cs="Calibri" w:eastAsia="Calibri" w:hAnsi="Calibri"/>
          <w:sz w:val="20"/>
          <w:szCs w:val="20"/>
        </w:rPr>
        <w:t xml:space="preserve">No keyboard and no mouse, and every device loads an identical URL. Displays therefore identify themselves through a pairing flow:</w:t>
      </w:r>
    </w:p>
    <w:p>
      <w:pPr>
        <w:pStyle w:val="ListParagraph"/>
        <w:numPr>
          <w:ilvl w:val="0"/>
          <w:numId w:val="2"/>
        </w:numPr>
        <w:spacing w:after="35"/>
      </w:pPr>
      <w:r>
        <w:rPr>
          <w:rFonts w:ascii="Calibri" w:cs="Calibri" w:eastAsia="Calibri" w:hAnsi="Calibri"/>
          <w:sz w:val="20"/>
          <w:szCs w:val="20"/>
        </w:rPr>
        <w:t xml:space="preserve">The device boots and Chromium loads the player URL.</w:t>
      </w:r>
    </w:p>
    <w:p>
      <w:pPr>
        <w:pStyle w:val="ListParagraph"/>
        <w:numPr>
          <w:ilvl w:val="0"/>
          <w:numId w:val="2"/>
        </w:numPr>
        <w:spacing w:after="35"/>
      </w:pPr>
      <w:r>
        <w:rPr>
          <w:rFonts w:ascii="Calibri" w:cs="Calibri" w:eastAsia="Calibri" w:hAnsi="Calibri"/>
          <w:sz w:val="20"/>
          <w:szCs w:val="20"/>
        </w:rPr>
        <w:t xml:space="preserve">The player finds no device token stored locally and registers itself with the server.</w:t>
      </w:r>
    </w:p>
    <w:p>
      <w:pPr>
        <w:pStyle w:val="ListParagraph"/>
        <w:numPr>
          <w:ilvl w:val="0"/>
          <w:numId w:val="2"/>
        </w:numPr>
        <w:spacing w:after="35"/>
      </w:pPr>
      <w:r>
        <w:rPr>
          <w:rFonts w:ascii="Calibri" w:cs="Calibri" w:eastAsia="Calibri" w:hAnsi="Calibri"/>
          <w:sz w:val="20"/>
          <w:szCs w:val="20"/>
        </w:rPr>
        <w:t xml:space="preserve">The server creates the display in an unclaimed state and returns a short, human-readable pairing code.</w:t>
      </w:r>
    </w:p>
    <w:p>
      <w:pPr>
        <w:pStyle w:val="ListParagraph"/>
        <w:numPr>
          <w:ilvl w:val="0"/>
          <w:numId w:val="2"/>
        </w:numPr>
        <w:spacing w:after="35"/>
      </w:pPr>
      <w:r>
        <w:rPr>
          <w:rFonts w:ascii="Calibri" w:cs="Calibri" w:eastAsia="Calibri" w:hAnsi="Calibri"/>
          <w:sz w:val="20"/>
          <w:szCs w:val="20"/>
        </w:rPr>
        <w:t xml:space="preserve">The screen shows that code full-screen — for example, "Unclaimed display — code K7F2".</w:t>
      </w:r>
    </w:p>
    <w:p>
      <w:pPr>
        <w:pStyle w:val="ListParagraph"/>
        <w:numPr>
          <w:ilvl w:val="0"/>
          <w:numId w:val="2"/>
        </w:numPr>
        <w:spacing w:after="35"/>
      </w:pPr>
      <w:r>
        <w:rPr>
          <w:rFonts w:ascii="Calibri" w:cs="Calibri" w:eastAsia="Calibri" w:hAnsi="Calibri"/>
          <w:sz w:val="20"/>
          <w:szCs w:val="20"/>
        </w:rPr>
        <w:t xml:space="preserve">An administrator sees the pending display in the admin UI, matches the code against the screen in front of them, names it, sets its location, and assigns it to a group or leaves it standalone.</w:t>
      </w:r>
    </w:p>
    <w:p>
      <w:pPr>
        <w:pStyle w:val="ListParagraph"/>
        <w:numPr>
          <w:ilvl w:val="0"/>
          <w:numId w:val="2"/>
        </w:numPr>
        <w:spacing w:after="35"/>
      </w:pPr>
      <w:r>
        <w:rPr>
          <w:rFonts w:ascii="Calibri" w:cs="Calibri" w:eastAsia="Calibri" w:hAnsi="Calibri"/>
          <w:sz w:val="20"/>
          <w:szCs w:val="20"/>
        </w:rPr>
        <w:t xml:space="preserve">The server pushes an assign message, the player stores its device token, and playback begins.</w:t>
      </w:r>
    </w:p>
    <w:p>
      <w:pPr>
        <w:spacing w:after="90"/>
      </w:pPr>
      <w:r>
        <w:rPr>
          <w:rFonts w:ascii="Calibri" w:cs="Calibri" w:eastAsia="Calibri" w:hAnsi="Calibri"/>
          <w:sz w:val="20"/>
          <w:szCs w:val="20"/>
        </w:rPr>
        <w:t xml:space="preserve">This is the standard signage pairing pattern and it requires no text entry on the device.</w:t>
      </w:r>
    </w:p>
    <w:p>
      <w:pPr>
        <w:spacing w:after="50" w:before="110"/>
      </w:pPr>
      <w:r>
        <w:rPr>
          <w:rFonts w:ascii="Calibri" w:cs="Calibri" w:eastAsia="Calibri" w:hAnsi="Calibri"/>
          <w:b/>
          <w:bCs/>
          <w:color w:val="F4762B"/>
          <w:sz w:val="20"/>
          <w:szCs w:val="20"/>
        </w:rPr>
        <w:t xml:space="preserve">4.1  </w:t>
      </w:r>
      <w:r>
        <w:rPr>
          <w:rFonts w:ascii="Calibri" w:cs="Calibri" w:eastAsia="Calibri" w:hAnsi="Calibri"/>
          <w:b/>
          <w:bCs/>
          <w:color w:val="1C2B39"/>
          <w:sz w:val="20"/>
          <w:szCs w:val="20"/>
        </w:rPr>
        <w:t xml:space="preserve">The Failure Mode to Design For</w:t>
      </w:r>
    </w:p>
    <w:p>
      <w:pPr>
        <w:spacing w:after="90"/>
      </w:pPr>
      <w:r>
        <w:rPr>
          <w:rFonts w:ascii="Calibri" w:cs="Calibri" w:eastAsia="Calibri" w:hAnsi="Calibri"/>
          <w:sz w:val="20"/>
          <w:szCs w:val="20"/>
        </w:rPr>
        <w:t xml:space="preserve">Anything that clears local storage — a factory reset, a manual cache clear — wipes the device token and returns the display to an unclaimed state. Mitigations, in order of value:</w:t>
      </w:r>
    </w:p>
    <w:p>
      <w:pPr>
        <w:pStyle w:val="ListParagraph"/>
        <w:numPr>
          <w:ilvl w:val="0"/>
          <w:numId w:val="2"/>
        </w:numPr>
        <w:spacing w:after="35"/>
      </w:pPr>
      <w:r>
        <w:rPr>
          <w:rFonts w:ascii="Calibri" w:cs="Calibri" w:eastAsia="Calibri" w:hAnsi="Calibri"/>
          <w:sz w:val="20"/>
          <w:szCs w:val="20"/>
        </w:rPr>
        <w:t xml:space="preserve">Reserve DHCP addresses so every device has a stable IP. On re-enrollment the server matches the client address against the previous owner and offers a one-click re-claim rather than a fresh setup.</w:t>
      </w:r>
    </w:p>
    <w:p>
      <w:pPr>
        <w:pStyle w:val="ListParagraph"/>
        <w:numPr>
          <w:ilvl w:val="0"/>
          <w:numId w:val="2"/>
        </w:numPr>
        <w:spacing w:after="35"/>
      </w:pPr>
      <w:r>
        <w:rPr>
          <w:rFonts w:ascii="Calibri" w:cs="Calibri" w:eastAsia="Calibri" w:hAnsi="Calibri"/>
          <w:sz w:val="20"/>
          <w:szCs w:val="20"/>
        </w:rPr>
        <w:t xml:space="preserve">Never issue clear-cache as a routine remedy.</w:t>
      </w:r>
    </w:p>
    <w:p>
      <w:pPr>
        <w:pStyle w:val="ListParagraph"/>
        <w:numPr>
          <w:ilvl w:val="0"/>
          <w:numId w:val="2"/>
        </w:numPr>
        <w:spacing w:after="35"/>
      </w:pPr>
      <w:r>
        <w:rPr>
          <w:rFonts w:ascii="Calibri" w:cs="Calibri" w:eastAsia="Calibri" w:hAnsi="Calibri"/>
          <w:sz w:val="20"/>
          <w:szCs w:val="20"/>
        </w:rPr>
        <w:t xml:space="preserve">Accept that re-pairing is a twenty-second administrative task, not an outage — the display keeps showing its cached rotation until told otherwise.</w:t>
      </w:r>
    </w:p>
    <w:p>
      <w:pPr>
        <w:pageBreakBefore/>
        <w:spacing w:after="70" w:before="0"/>
      </w:pPr>
      <w:r>
        <w:rPr>
          <w:rFonts w:ascii="Calibri" w:cs="Calibri" w:eastAsia="Calibri" w:hAnsi="Calibri"/>
          <w:b/>
          <w:bCs/>
          <w:color w:val="F4762B"/>
          <w:sz w:val="23"/>
          <w:szCs w:val="23"/>
        </w:rPr>
        <w:t xml:space="preserve">5.0  </w:t>
      </w:r>
      <w:r>
        <w:rPr>
          <w:rFonts w:ascii="Calibri" w:cs="Calibri" w:eastAsia="Calibri" w:hAnsi="Calibri"/>
          <w:b/>
          <w:bCs/>
          <w:color w:val="1C2B39"/>
          <w:sz w:val="23"/>
          <w:szCs w:val="23"/>
        </w:rPr>
        <w:t xml:space="preserve">Data Model</w:t>
      </w:r>
    </w:p>
    <w:p>
      <w:pPr>
        <w:spacing w:after="90"/>
      </w:pPr>
      <w:r>
        <w:rPr>
          <w:rFonts w:ascii="Calibri" w:cs="Calibri" w:eastAsia="Calibri" w:hAnsi="Calibri"/>
          <w:sz w:val="20"/>
          <w:szCs w:val="20"/>
        </w:rPr>
        <w:t xml:space="preserve">Rotation is a confirmed requirement, so the rotation and scheduling entities below are load-bearing, not optional extras.</w:t>
      </w:r>
    </w:p>
    <w:p>
      <w:pPr>
        <w:spacing w:after="35" w:before="60"/>
      </w:pPr>
      <w:r>
        <w:rPr>
          <w:rFonts w:ascii="Calibri" w:cs="Calibri" w:eastAsia="Calibri" w:hAnsi="Calibri"/>
          <w:b/>
          <w:bCs/>
          <w:i/>
          <w:iCs/>
          <w:sz w:val="20"/>
          <w:szCs w:val="20"/>
        </w:rPr>
        <w:t xml:space="preserve">Table 4 — First-cut entities and their significant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Entity</w:t>
            </w:r>
          </w:p>
        </w:tc>
        <w:tc>
          <w:tcPr>
            <w:tcW w:type="dxa" w:w="736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Key fields</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Display</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Id, Name, Location, GroupId, DeviceTokenHash, Status, LastSeenUtc, PairingCode, ClaimedAtUtc, IpAddress, MacAddress, Orientation</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DisplayGroup</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Id, Name, Description, SiteId</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Content</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Id, Kind (Iframe / Native / Snapshot / Asset), Url, NativeViewKey, AssetId, FramingMode, RefreshHintSeconds</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Playlist</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Id, Name, Version</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PlaylistItem</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PlaylistId, ContentId, Order, DurationSeconds</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Schedule / ScheduleRule</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GroupId, PlaylistId, DayMask, StartTime, EndTime, Priority</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Override</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Target (GroupId or DisplayId), ContentId, ExpiresAtUtc, CreatedBy</w:t>
            </w:r>
          </w:p>
        </w:tc>
      </w:tr>
      <w:tr>
        <w:trPr>
          <w:cantSplit/>
          <w:tblHeader w:val="false"/>
        </w:trPr>
        <w:tc>
          <w:tcPr>
            <w:tcW w:type="dxa" w:w="20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DisplayEvent</w:t>
            </w:r>
          </w:p>
        </w:tc>
        <w:tc>
          <w:tcPr>
            <w:tcW w:type="dxa" w:w="73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DisplayId, Kind, PayloadJson, OccurredAtUtc — heartbeats, health, errors, command results</w:t>
            </w:r>
          </w:p>
        </w:tc>
      </w:tr>
    </w:tbl>
    <w:p>
      <w:pPr>
        <w:spacing w:after="50" w:before="110"/>
      </w:pPr>
      <w:r>
        <w:rPr>
          <w:rFonts w:ascii="Calibri" w:cs="Calibri" w:eastAsia="Calibri" w:hAnsi="Calibri"/>
          <w:b/>
          <w:bCs/>
          <w:color w:val="F4762B"/>
          <w:sz w:val="20"/>
          <w:szCs w:val="20"/>
        </w:rPr>
        <w:t xml:space="preserve">5.1  </w:t>
      </w:r>
      <w:r>
        <w:rPr>
          <w:rFonts w:ascii="Calibri" w:cs="Calibri" w:eastAsia="Calibri" w:hAnsi="Calibri"/>
          <w:b/>
          <w:bCs/>
          <w:color w:val="1C2B39"/>
          <w:sz w:val="20"/>
          <w:szCs w:val="20"/>
        </w:rPr>
        <w:t xml:space="preserve">Deliberate Simplifications</w:t>
      </w:r>
    </w:p>
    <w:p>
      <w:pPr>
        <w:spacing w:after="90"/>
      </w:pPr>
      <w:r>
        <w:rPr>
          <w:rFonts w:ascii="Calibri" w:cs="Calibri" w:eastAsia="Calibri" w:hAnsi="Calibri"/>
          <w:sz w:val="20"/>
          <w:szCs w:val="20"/>
        </w:rPr>
        <w:t xml:space="preserve">These are recorded so they are not quietly re-litigated later.</w:t>
      </w:r>
    </w:p>
    <w:p>
      <w:pPr>
        <w:pStyle w:val="ListParagraph"/>
        <w:numPr>
          <w:ilvl w:val="0"/>
          <w:numId w:val="2"/>
        </w:numPr>
        <w:spacing w:after="35"/>
      </w:pPr>
      <w:r>
        <w:rPr>
          <w:rFonts w:ascii="Calibri" w:cs="Calibri" w:eastAsia="Calibri" w:hAnsi="Calibri"/>
          <w:sz w:val="20"/>
          <w:szCs w:val="20"/>
        </w:rPr>
        <w:t xml:space="preserve">A display belongs to exactly one group, or none (standalone). Many-to-many membership makes "what is this screen showing right now?" unanswerable without a precedence algebra nobody wants to debug at six in the morning. A standalone display is simply a group of one in practice — it still gets its own playlist and schedule rule.</w:t>
      </w:r>
    </w:p>
    <w:p>
      <w:pPr>
        <w:pStyle w:val="ListParagraph"/>
        <w:numPr>
          <w:ilvl w:val="0"/>
          <w:numId w:val="2"/>
        </w:numPr>
        <w:spacing w:after="35"/>
      </w:pPr>
      <w:r>
        <w:rPr>
          <w:rFonts w:ascii="Calibri" w:cs="Calibri" w:eastAsia="Calibri" w:hAnsi="Calibri"/>
          <w:sz w:val="20"/>
          <w:szCs w:val="20"/>
        </w:rPr>
        <w:t xml:space="preserve">Schedules are group-level, including groups of one. Per-display scheduling below that is not needed — a standalone display's schedule already lives on its own group.</w:t>
      </w:r>
    </w:p>
    <w:p>
      <w:pPr>
        <w:pStyle w:val="ListParagraph"/>
        <w:numPr>
          <w:ilvl w:val="0"/>
          <w:numId w:val="2"/>
        </w:numPr>
        <w:spacing w:after="35"/>
      </w:pPr>
      <w:r>
        <w:rPr>
          <w:rFonts w:ascii="Calibri" w:cs="Calibri" w:eastAsia="Calibri" w:hAnsi="Calibri"/>
          <w:sz w:val="20"/>
          <w:szCs w:val="20"/>
        </w:rPr>
        <w:t xml:space="preserve">Override exists specifically for "put the safety notice on every floor screen, now" — a single action with an expiry, not a rotation edit.</w:t>
      </w:r>
    </w:p>
    <w:p>
      <w:pPr>
        <w:pStyle w:val="ListParagraph"/>
        <w:numPr>
          <w:ilvl w:val="0"/>
          <w:numId w:val="2"/>
        </w:numPr>
        <w:spacing w:after="35"/>
      </w:pPr>
      <w:r>
        <w:rPr>
          <w:rFonts w:ascii="Calibri" w:cs="Calibri" w:eastAsia="Calibri" w:hAnsi="Calibri"/>
          <w:sz w:val="20"/>
          <w:szCs w:val="20"/>
        </w:rPr>
        <w:t xml:space="preserve">PlaylistItem.DurationSeconds drives rotation timing. The player advances through a group's active playlist on that cadence, keeping the next item's pane warm rather than navigating cold.</w:t>
      </w:r>
    </w:p>
    <w:p>
      <w:pPr>
        <w:spacing w:after="70" w:before="170"/>
      </w:pPr>
      <w:r>
        <w:rPr>
          <w:rFonts w:ascii="Calibri" w:cs="Calibri" w:eastAsia="Calibri" w:hAnsi="Calibri"/>
          <w:b/>
          <w:bCs/>
          <w:color w:val="F4762B"/>
          <w:sz w:val="23"/>
          <w:szCs w:val="23"/>
        </w:rPr>
        <w:t xml:space="preserve">6.0  </w:t>
      </w:r>
      <w:r>
        <w:rPr>
          <w:rFonts w:ascii="Calibri" w:cs="Calibri" w:eastAsia="Calibri" w:hAnsi="Calibri"/>
          <w:b/>
          <w:bCs/>
          <w:color w:val="1C2B39"/>
          <w:sz w:val="23"/>
          <w:szCs w:val="23"/>
        </w:rPr>
        <w:t xml:space="preserve">Authentication</w:t>
      </w:r>
    </w:p>
    <w:p>
      <w:pPr>
        <w:spacing w:after="90"/>
      </w:pPr>
      <w:r>
        <w:rPr>
          <w:rFonts w:ascii="Calibri" w:cs="Calibri" w:eastAsia="Calibri" w:hAnsi="Calibri"/>
          <w:sz w:val="20"/>
          <w:szCs w:val="20"/>
        </w:rPr>
        <w:t xml:space="preserve">There are two separate identity planes and they should not be conflated.</w:t>
      </w:r>
    </w:p>
    <w:p>
      <w:pPr>
        <w:spacing w:after="50" w:before="110"/>
      </w:pPr>
      <w:r>
        <w:rPr>
          <w:rFonts w:ascii="Calibri" w:cs="Calibri" w:eastAsia="Calibri" w:hAnsi="Calibri"/>
          <w:b/>
          <w:bCs/>
          <w:color w:val="F4762B"/>
          <w:sz w:val="20"/>
          <w:szCs w:val="20"/>
        </w:rPr>
        <w:t xml:space="preserve">6.1  </w:t>
      </w:r>
      <w:r>
        <w:rPr>
          <w:rFonts w:ascii="Calibri" w:cs="Calibri" w:eastAsia="Calibri" w:hAnsi="Calibri"/>
          <w:b/>
          <w:bCs/>
          <w:color w:val="1C2B39"/>
          <w:sz w:val="20"/>
          <w:szCs w:val="20"/>
        </w:rPr>
        <w:t xml:space="preserve">Displays — Device Tokens</w:t>
      </w:r>
    </w:p>
    <w:p>
      <w:pPr>
        <w:pStyle w:val="ListParagraph"/>
        <w:numPr>
          <w:ilvl w:val="0"/>
          <w:numId w:val="2"/>
        </w:numPr>
        <w:spacing w:after="35"/>
      </w:pPr>
      <w:r>
        <w:rPr>
          <w:rFonts w:ascii="Calibri" w:cs="Calibri" w:eastAsia="Calibri" w:hAnsi="Calibri"/>
          <w:sz w:val="20"/>
          <w:szCs w:val="20"/>
        </w:rPr>
        <w:t xml:space="preserve">Enrollment issues an opaque 256-bit random token, stored hashed at rest, one per display.</w:t>
      </w:r>
    </w:p>
    <w:p>
      <w:pPr>
        <w:pStyle w:val="ListParagraph"/>
        <w:numPr>
          <w:ilvl w:val="0"/>
          <w:numId w:val="2"/>
        </w:numPr>
        <w:spacing w:after="35"/>
      </w:pPr>
      <w:r>
        <w:rPr>
          <w:rFonts w:ascii="Calibri" w:cs="Calibri" w:eastAsia="Calibri" w:hAnsi="Calibri"/>
          <w:sz w:val="20"/>
          <w:szCs w:val="20"/>
        </w:rPr>
        <w:t xml:space="preserve">It is presented as a bearer token on every device API call and on SSE connection.</w:t>
      </w:r>
    </w:p>
    <w:p>
      <w:pPr>
        <w:pStyle w:val="ListParagraph"/>
        <w:numPr>
          <w:ilvl w:val="0"/>
          <w:numId w:val="2"/>
        </w:numPr>
        <w:spacing w:after="35"/>
      </w:pPr>
      <w:r>
        <w:rPr>
          <w:rFonts w:ascii="Calibri" w:cs="Calibri" w:eastAsia="Calibri" w:hAnsi="Calibri"/>
          <w:sz w:val="20"/>
          <w:szCs w:val="20"/>
        </w:rPr>
        <w:t xml:space="preserve">It is individually revocable — a stolen or decommissioned device is one click — and rotatable on a schedule without re-pairing.</w:t>
      </w:r>
    </w:p>
    <w:p>
      <w:pPr>
        <w:pStyle w:val="ListParagraph"/>
        <w:numPr>
          <w:ilvl w:val="0"/>
          <w:numId w:val="2"/>
        </w:numPr>
        <w:spacing w:after="35"/>
      </w:pPr>
      <w:r>
        <w:rPr>
          <w:rFonts w:ascii="Calibri" w:cs="Calibri" w:eastAsia="Calibri" w:hAnsi="Calibri"/>
          <w:sz w:val="20"/>
          <w:szCs w:val="20"/>
        </w:rPr>
        <w:t xml:space="preserve">Device tokens are not Seaway.AppSecurity users. They carry no roles and reach only the device API surface: read rotation, post heartbeat, post health, post error, accept device commands. That containment is the reason for not using kiosk service accounts.</w:t>
      </w:r>
    </w:p>
    <w:p>
      <w:pPr>
        <w:spacing w:after="50" w:before="110"/>
      </w:pPr>
      <w:r>
        <w:rPr>
          <w:rFonts w:ascii="Calibri" w:cs="Calibri" w:eastAsia="Calibri" w:hAnsi="Calibri"/>
          <w:b/>
          <w:bCs/>
          <w:color w:val="F4762B"/>
          <w:sz w:val="20"/>
          <w:szCs w:val="20"/>
        </w:rPr>
        <w:t xml:space="preserve">6.2  </w:t>
      </w:r>
      <w:r>
        <w:rPr>
          <w:rFonts w:ascii="Calibri" w:cs="Calibri" w:eastAsia="Calibri" w:hAnsi="Calibri"/>
          <w:b/>
          <w:bCs/>
          <w:color w:val="1C2B39"/>
          <w:sz w:val="20"/>
          <w:szCs w:val="20"/>
        </w:rPr>
        <w:t xml:space="preserve">Displayed Seaway Apps — Short-Lived Signed Handoff</w:t>
      </w:r>
    </w:p>
    <w:p>
      <w:pPr>
        <w:spacing w:after="90"/>
      </w:pPr>
      <w:r>
        <w:rPr>
          <w:rFonts w:ascii="Calibri" w:cs="Calibri" w:eastAsia="Calibri" w:hAnsi="Calibri"/>
          <w:sz w:val="20"/>
          <w:szCs w:val="20"/>
        </w:rPr>
        <w:t xml:space="preserve">For an iframe pane pointing at an internal Seaway application, the signage app mints a short-lived, audience-scoped signed token, valid for roughly five minutes. The target application exposes a display route that accepts it and establishes a read-only session. The player refreshes the token before expiry. No long-lived credential for any other application ever sits on the device.</w:t>
      </w:r>
    </w:p>
    <w:p>
      <w:pPr>
        <w:spacing w:after="50" w:before="110"/>
      </w:pPr>
      <w:r>
        <w:rPr>
          <w:rFonts w:ascii="Calibri" w:cs="Calibri" w:eastAsia="Calibri" w:hAnsi="Calibri"/>
          <w:b/>
          <w:bCs/>
          <w:color w:val="F4762B"/>
          <w:sz w:val="20"/>
          <w:szCs w:val="20"/>
        </w:rPr>
        <w:t xml:space="preserve">6.3  </w:t>
      </w:r>
      <w:r>
        <w:rPr>
          <w:rFonts w:ascii="Calibri" w:cs="Calibri" w:eastAsia="Calibri" w:hAnsi="Calibri"/>
          <w:b/>
          <w:bCs/>
          <w:color w:val="1C2B39"/>
          <w:sz w:val="20"/>
          <w:szCs w:val="20"/>
        </w:rPr>
        <w:t xml:space="preserve">Admin UI and Vendor Pages</w:t>
      </w:r>
    </w:p>
    <w:p>
      <w:pPr>
        <w:spacing w:after="90"/>
      </w:pPr>
      <w:r>
        <w:rPr>
          <w:rFonts w:ascii="Calibri" w:cs="Calibri" w:eastAsia="Calibri" w:hAnsi="Calibri"/>
          <w:sz w:val="20"/>
          <w:szCs w:val="20"/>
        </w:rPr>
        <w:t xml:space="preserve">Administrators managing the fleet authenticate through Seaway.AppSecurity in the normal way. Vendor pages are handled by the snapshot worker, which holds the vendor credential server-side; no vendor credential is ever delivered to a display.</w:t>
      </w:r>
    </w:p>
    <w:p>
      <w:pPr>
        <w:spacing w:after="70" w:before="170"/>
      </w:pPr>
      <w:r>
        <w:rPr>
          <w:rFonts w:ascii="Calibri" w:cs="Calibri" w:eastAsia="Calibri" w:hAnsi="Calibri"/>
          <w:b/>
          <w:bCs/>
          <w:color w:val="F4762B"/>
          <w:sz w:val="23"/>
          <w:szCs w:val="23"/>
        </w:rPr>
        <w:t xml:space="preserve">7.0  </w:t>
      </w:r>
      <w:r>
        <w:rPr>
          <w:rFonts w:ascii="Calibri" w:cs="Calibri" w:eastAsia="Calibri" w:hAnsi="Calibri"/>
          <w:b/>
          <w:bCs/>
          <w:color w:val="1C2B39"/>
          <w:sz w:val="23"/>
          <w:szCs w:val="23"/>
        </w:rPr>
        <w:t xml:space="preserve">Device &amp; OS Management — One Console for the Fleet</w:t>
      </w:r>
    </w:p>
    <w:p>
      <w:pPr>
        <w:spacing w:after="90"/>
      </w:pPr>
      <w:r>
        <w:rPr>
          <w:rFonts w:ascii="Calibri" w:cs="Calibri" w:eastAsia="Calibri" w:hAnsi="Calibri"/>
          <w:sz w:val="20"/>
          <w:szCs w:val="20"/>
        </w:rPr>
        <w:t xml:space="preserve">This section is specific to the Pi path (section 2.4). On the Signage Stick path, everything below would instead depend entirely on obtaining Remote Management API access — see section 9.2.</w:t>
      </w:r>
    </w:p>
    <w:p>
      <w:pPr>
        <w:spacing w:after="50" w:before="110"/>
      </w:pPr>
      <w:r>
        <w:rPr>
          <w:rFonts w:ascii="Calibri" w:cs="Calibri" w:eastAsia="Calibri" w:hAnsi="Calibri"/>
          <w:b/>
          <w:bCs/>
          <w:color w:val="F4762B"/>
          <w:sz w:val="20"/>
          <w:szCs w:val="20"/>
        </w:rPr>
        <w:t xml:space="preserve">7.1  </w:t>
      </w:r>
      <w:r>
        <w:rPr>
          <w:rFonts w:ascii="Calibri" w:cs="Calibri" w:eastAsia="Calibri" w:hAnsi="Calibri"/>
          <w:b/>
          <w:bCs/>
          <w:color w:val="1C2B39"/>
          <w:sz w:val="20"/>
          <w:szCs w:val="20"/>
        </w:rPr>
        <w:t xml:space="preserve">Why One Console Is Achievable Here</w:t>
      </w:r>
    </w:p>
    <w:p>
      <w:pPr>
        <w:spacing w:after="90"/>
      </w:pPr>
      <w:r>
        <w:rPr>
          <w:rFonts w:ascii="Calibri" w:cs="Calibri" w:eastAsia="Calibri" w:hAnsi="Calibri"/>
          <w:sz w:val="20"/>
          <w:szCs w:val="20"/>
        </w:rPr>
        <w:t xml:space="preserve">Because we hold root on every device, the OS-level commands — reboot, restart-browser from the table in section 3.3, and a health payload of CPU temperature, disk and uptime folded into the regular heartbeat — are just a small extension of the same agent and the same SSE channel already built for content. The Seaway admin UI is the single console for both what a screen is showing and whether a box is healthy and can be rebooted. No second dashboard, no external subscription.</w:t>
      </w:r>
    </w:p>
    <w:p>
      <w:pPr>
        <w:spacing w:after="50" w:before="110"/>
      </w:pPr>
      <w:r>
        <w:rPr>
          <w:rFonts w:ascii="Calibri" w:cs="Calibri" w:eastAsia="Calibri" w:hAnsi="Calibri"/>
          <w:b/>
          <w:bCs/>
          <w:color w:val="F4762B"/>
          <w:sz w:val="20"/>
          <w:szCs w:val="20"/>
        </w:rPr>
        <w:t xml:space="preserve">7.2  </w:t>
      </w:r>
      <w:r>
        <w:rPr>
          <w:rFonts w:ascii="Calibri" w:cs="Calibri" w:eastAsia="Calibri" w:hAnsi="Calibri"/>
          <w:b/>
          <w:bCs/>
          <w:color w:val="1C2B39"/>
          <w:sz w:val="20"/>
          <w:szCs w:val="20"/>
        </w:rPr>
        <w:t xml:space="preserve">Provisioning and OS Updates — Ansible</w:t>
      </w:r>
    </w:p>
    <w:p>
      <w:pPr>
        <w:spacing w:after="90"/>
      </w:pPr>
      <w:r>
        <w:rPr>
          <w:rFonts w:ascii="Calibri" w:cs="Calibri" w:eastAsia="Calibri" w:hAnsi="Calibri"/>
          <w:sz w:val="20"/>
          <w:szCs w:val="20"/>
        </w:rPr>
        <w:t xml:space="preserve">Day-to-day operation goes through the console above. Initial imaging and occasional OS-level updates — security patches, a new base image — are a different, infrequent kind of task, better suited to a purpose-built provisioning tool than to the live console. Ansible is open source, SSH-based, and installs no agent on the device. A ready-made kiosk role pattern installs Chromium, openbox and autologin, and the same playbooks push OS updates across the fleet in one run. Free, self-hosted, and fits Seaway's on-prem posture, needing nothing beyond SSH access on the signage VLAN.</w:t>
      </w:r>
    </w:p>
    <w:p>
      <w:pPr>
        <w:spacing w:after="50" w:before="110"/>
      </w:pPr>
      <w:r>
        <w:rPr>
          <w:rFonts w:ascii="Calibri" w:cs="Calibri" w:eastAsia="Calibri" w:hAnsi="Calibri"/>
          <w:b/>
          <w:bCs/>
          <w:color w:val="F4762B"/>
          <w:sz w:val="20"/>
          <w:szCs w:val="20"/>
        </w:rPr>
        <w:t xml:space="preserve">7.3  </w:t>
      </w:r>
      <w:r>
        <w:rPr>
          <w:rFonts w:ascii="Calibri" w:cs="Calibri" w:eastAsia="Calibri" w:hAnsi="Calibri"/>
          <w:b/>
          <w:bCs/>
          <w:color w:val="1C2B39"/>
          <w:sz w:val="20"/>
          <w:szCs w:val="20"/>
        </w:rPr>
        <w:t xml:space="preserve">Alternative: Buy Instead of Build — balenaCloud</w:t>
      </w:r>
    </w:p>
    <w:p>
      <w:pPr>
        <w:spacing w:after="90"/>
      </w:pPr>
      <w:r>
        <w:rPr>
          <w:rFonts w:ascii="Calibri" w:cs="Calibri" w:eastAsia="Calibri" w:hAnsi="Calibri"/>
          <w:sz w:val="20"/>
          <w:szCs w:val="20"/>
        </w:rPr>
        <w:t xml:space="preserve">Worth naming honestly as the road not taken. balenaCloud gives a genuinely good single console out of the box — device fleets and groups, remote terminal, over-the-air container deploys, per-device variables that map cleanly onto assigning a device its group and URL. But the free tier caps at ten devices total, and thirty devices lands on the Prototype plan at $159 per month, three dollars per device beyond that — a real recurring cost for what the rest of this plan treats as on-prem and subscription-free. Not recommended at this fleet size, given the content-plane console is being built regardless and extending it costs little by comparison, but documented here so the trade-off is explicit rather than assumed away.</w:t>
      </w:r>
    </w:p>
    <w:p>
      <w:pPr>
        <w:spacing w:after="70" w:before="170"/>
      </w:pPr>
      <w:r>
        <w:rPr>
          <w:rFonts w:ascii="Calibri" w:cs="Calibri" w:eastAsia="Calibri" w:hAnsi="Calibri"/>
          <w:b/>
          <w:bCs/>
          <w:color w:val="F4762B"/>
          <w:sz w:val="23"/>
          <w:szCs w:val="23"/>
        </w:rPr>
        <w:t xml:space="preserve">8.0  </w:t>
      </w:r>
      <w:r>
        <w:rPr>
          <w:rFonts w:ascii="Calibri" w:cs="Calibri" w:eastAsia="Calibri" w:hAnsi="Calibri"/>
          <w:b/>
          <w:bCs/>
          <w:color w:val="1C2B39"/>
          <w:sz w:val="23"/>
          <w:szCs w:val="23"/>
        </w:rPr>
        <w:t xml:space="preserve">Snapshot Worker</w:t>
      </w:r>
    </w:p>
    <w:p>
      <w:pPr>
        <w:spacing w:after="90"/>
      </w:pPr>
      <w:r>
        <w:rPr>
          <w:rFonts w:ascii="Calibri" w:cs="Calibri" w:eastAsia="Calibri" w:hAnsi="Calibri"/>
          <w:sz w:val="20"/>
          <w:szCs w:val="20"/>
        </w:rPr>
        <w:t xml:space="preserve">For content that cannot be framed, or that needs server-held credentials, a headless Chromium service runs on-prem, signs in as required, renders the target page on a schedule and publishes an image the player shows as a snapshot pane. It solves vendor authentication and iframe refusal in one move.</w:t>
      </w:r>
    </w:p>
    <w:p>
      <w:pPr>
        <w:spacing w:after="90"/>
      </w:pPr>
      <w:r>
        <w:rPr>
          <w:rFonts w:ascii="Calibri" w:cs="Calibri" w:eastAsia="Calibri" w:hAnsi="Calibri"/>
          <w:sz w:val="20"/>
          <w:szCs w:val="20"/>
        </w:rPr>
        <w:t xml:space="preserve">Its cost is freshness: a snapshot is only as current as its render interval, so it cannot meet the five-second target. The admin UI should show each snapshot's render age clearly, so nobody mistakes a five-minute-old image for live data.</w:t>
      </w:r>
    </w:p>
    <w:p>
      <w:pPr>
        <w:pageBreakBefore/>
        <w:spacing w:after="70" w:before="0"/>
      </w:pPr>
      <w:r>
        <w:rPr>
          <w:rFonts w:ascii="Calibri" w:cs="Calibri" w:eastAsia="Calibri" w:hAnsi="Calibri"/>
          <w:b/>
          <w:bCs/>
          <w:color w:val="F4762B"/>
          <w:sz w:val="23"/>
          <w:szCs w:val="23"/>
        </w:rPr>
        <w:t xml:space="preserve">9.0  </w:t>
      </w:r>
      <w:r>
        <w:rPr>
          <w:rFonts w:ascii="Calibri" w:cs="Calibri" w:eastAsia="Calibri" w:hAnsi="Calibri"/>
          <w:b/>
          <w:bCs/>
          <w:color w:val="1C2B39"/>
          <w:sz w:val="23"/>
          <w:szCs w:val="23"/>
        </w:rPr>
        <w:t xml:space="preserve">Risks</w:t>
      </w:r>
    </w:p>
    <w:p>
      <w:pPr>
        <w:spacing w:after="50" w:before="110"/>
      </w:pPr>
      <w:r>
        <w:rPr>
          <w:rFonts w:ascii="Calibri" w:cs="Calibri" w:eastAsia="Calibri" w:hAnsi="Calibri"/>
          <w:b/>
          <w:bCs/>
          <w:color w:val="F4762B"/>
          <w:sz w:val="20"/>
          <w:szCs w:val="20"/>
        </w:rPr>
        <w:t xml:space="preserve">9.1  </w:t>
      </w:r>
      <w:r>
        <w:rPr>
          <w:rFonts w:ascii="Calibri" w:cs="Calibri" w:eastAsia="Calibri" w:hAnsi="Calibri"/>
          <w:b/>
          <w:bCs/>
          <w:color w:val="1C2B39"/>
          <w:sz w:val="20"/>
          <w:szCs w:val="20"/>
        </w:rPr>
        <w:t xml:space="preserve">Common to Both Hardware Paths</w:t>
      </w:r>
    </w:p>
    <w:p>
      <w:pPr>
        <w:spacing w:after="90" w:before="60"/>
      </w:pPr>
      <w:r>
        <w:rPr>
          <w:rFonts w:ascii="Calibri" w:cs="Calibri" w:eastAsia="Calibri" w:hAnsi="Calibri"/>
          <w:b/>
          <w:bCs/>
          <w:color w:val="1C2B39"/>
          <w:sz w:val="20"/>
          <w:szCs w:val="20"/>
        </w:rPr>
        <w:t xml:space="preserve">Iframe refusal. </w:t>
      </w:r>
      <w:r>
        <w:rPr>
          <w:rFonts w:ascii="Calibri" w:cs="Calibri" w:eastAsia="Calibri" w:hAnsi="Calibri"/>
          <w:sz w:val="20"/>
          <w:szCs w:val="20"/>
        </w:rPr>
        <w:t xml:space="preserve">X-Frame-Options and CSP frame-ancestors will block a meaningful share of target pages, regardless of what plays them. Seaway-owned applications need a frame-ancestors allowance for the signage host — cheap, but a change to each displayed application, so it belongs in their backlogs too. Vendor pages route through the snapshot worker. Reverse-proxy header rewriting is technically possible, fragile, and silently defeats a control the vendor set deliberately — not recommended, listed only to be explicitly ruled out.</w:t>
      </w:r>
    </w:p>
    <w:p>
      <w:pPr>
        <w:spacing w:after="90" w:before="60"/>
      </w:pPr>
      <w:r>
        <w:rPr>
          <w:rFonts w:ascii="Calibri" w:cs="Calibri" w:eastAsia="Calibri" w:hAnsi="Calibri"/>
          <w:b/>
          <w:bCs/>
          <w:color w:val="1C2B39"/>
          <w:sz w:val="20"/>
          <w:szCs w:val="20"/>
        </w:rPr>
        <w:t xml:space="preserve">Single point of failure. </w:t>
      </w:r>
      <w:r>
        <w:rPr>
          <w:rFonts w:ascii="Calibri" w:cs="Calibri" w:eastAsia="Calibri" w:hAnsi="Calibri"/>
          <w:sz w:val="20"/>
          <w:szCs w:val="20"/>
        </w:rPr>
        <w:t xml:space="preserve">Every screen depends on one on-prem application. Mitigated by the player's local rotation cache, so a server outage degrades to slightly stale content rather than every screen in the building going black. This is the highest-value resilience feature in this plan and belongs in Phase 1, not later.</w:t>
      </w:r>
    </w:p>
    <w:p>
      <w:pPr>
        <w:spacing w:after="90" w:before="60"/>
      </w:pPr>
      <w:r>
        <w:rPr>
          <w:rFonts w:ascii="Calibri" w:cs="Calibri" w:eastAsia="Calibri" w:hAnsi="Calibri"/>
          <w:b/>
          <w:bCs/>
          <w:color w:val="1C2B39"/>
          <w:sz w:val="20"/>
          <w:szCs w:val="20"/>
        </w:rPr>
        <w:t xml:space="preserve">Heartbeat beats vendor telemetry. </w:t>
      </w:r>
      <w:r>
        <w:rPr>
          <w:rFonts w:ascii="Calibri" w:cs="Calibri" w:eastAsia="Calibri" w:hAnsi="Calibri"/>
          <w:sz w:val="20"/>
          <w:szCs w:val="20"/>
        </w:rPr>
        <w:t xml:space="preserve">Worth stating plainly regardless of hardware: the player heartbeat proves the entire chain — network up, browser alive, our site reachable, page actually rendering. Any vendor-supplied device telemetry proves only that the hardware is powered and online, a much weaker claim. The heartbeat should be treated as the primary health signal even on a path where richer telemetry is also available.</w:t>
      </w:r>
    </w:p>
    <w:p>
      <w:pPr>
        <w:spacing w:after="90" w:before="60"/>
      </w:pPr>
      <w:r>
        <w:rPr>
          <w:rFonts w:ascii="Calibri" w:cs="Calibri" w:eastAsia="Calibri" w:hAnsi="Calibri"/>
          <w:b/>
          <w:bCs/>
          <w:color w:val="1C2B39"/>
          <w:sz w:val="20"/>
          <w:szCs w:val="20"/>
        </w:rPr>
        <w:t xml:space="preserve">Smaller, genuinely hardware-agnostic risks. </w:t>
      </w:r>
      <w:r>
        <w:rPr>
          <w:rFonts w:ascii="Calibri" w:cs="Calibri" w:eastAsia="Calibri" w:hAnsi="Calibri"/>
          <w:sz w:val="20"/>
          <w:szCs w:val="20"/>
        </w:rPr>
        <w:t xml:space="preserve">Screen burn-in on static content, substantially mitigated by rotation itself; display auto-sleep on a static HDMI input; overscan clipping the edges of the page; timezone and NTP correctness; autoplay policy if any pane contains video.</w:t>
      </w:r>
    </w:p>
    <w:p>
      <w:pPr>
        <w:spacing w:after="50" w:before="110"/>
      </w:pPr>
      <w:r>
        <w:rPr>
          <w:rFonts w:ascii="Calibri" w:cs="Calibri" w:eastAsia="Calibri" w:hAnsi="Calibri"/>
          <w:b/>
          <w:bCs/>
          <w:color w:val="F4762B"/>
          <w:sz w:val="20"/>
          <w:szCs w:val="20"/>
        </w:rPr>
        <w:t xml:space="preserve">9.2  </w:t>
      </w:r>
      <w:r>
        <w:rPr>
          <w:rFonts w:ascii="Calibri" w:cs="Calibri" w:eastAsia="Calibri" w:hAnsi="Calibri"/>
          <w:b/>
          <w:bCs/>
          <w:color w:val="1C2B39"/>
          <w:sz w:val="20"/>
          <w:szCs w:val="20"/>
        </w:rPr>
        <w:t xml:space="preserve">Specific to the Amazon Signage Stick Path (not applicable if the Pi path is chosen)</w:t>
      </w:r>
    </w:p>
    <w:p>
      <w:pPr>
        <w:spacing w:after="90" w:before="60"/>
      </w:pPr>
      <w:r>
        <w:rPr>
          <w:rFonts w:ascii="Calibri" w:cs="Calibri" w:eastAsia="Calibri" w:hAnsi="Calibri"/>
          <w:b/>
          <w:bCs/>
          <w:color w:val="1C2B39"/>
          <w:sz w:val="20"/>
          <w:szCs w:val="20"/>
        </w:rPr>
        <w:t xml:space="preserve">Remote Management API eligibility. </w:t>
      </w:r>
      <w:r>
        <w:rPr>
          <w:rFonts w:ascii="Calibri" w:cs="Calibri" w:eastAsia="Calibri" w:hAnsi="Calibri"/>
          <w:sz w:val="20"/>
          <w:szCs w:val="20"/>
        </w:rPr>
        <w:t xml:space="preserve">Documented as available to approved CMS providers. We are an end customer, not a CMS vendor, and eligibility is genuinely unresolved — this was the single largest open risk in the original version of this plan, and it is the main reason section 2.4 recommends the Pi instead.</w:t>
      </w:r>
    </w:p>
    <w:p>
      <w:pPr>
        <w:spacing w:after="90" w:before="60"/>
      </w:pPr>
      <w:r>
        <w:rPr>
          <w:rFonts w:ascii="Calibri" w:cs="Calibri" w:eastAsia="Calibri" w:hAnsi="Calibri"/>
          <w:b/>
          <w:bCs/>
          <w:color w:val="1C2B39"/>
          <w:sz w:val="20"/>
          <w:szCs w:val="20"/>
        </w:rPr>
        <w:t xml:space="preserve">TLS on a locked-down webview. </w:t>
      </w:r>
      <w:r>
        <w:rPr>
          <w:rFonts w:ascii="Calibri" w:cs="Calibri" w:eastAsia="Calibri" w:hAnsi="Calibri"/>
          <w:sz w:val="20"/>
          <w:szCs w:val="20"/>
        </w:rPr>
        <w:t xml:space="preserve">The kiosk webview is very unlikely to trust an internal certificate authority, and there is no practical way to install a root certificate on a locked-down device with no pointer and no "proceed anyway" button. A publicly-trusted certificate on a split-horizon internal name would be required, adding real setup time.</w:t>
      </w:r>
    </w:p>
    <w:p>
      <w:pPr>
        <w:spacing w:after="90" w:before="60"/>
      </w:pPr>
      <w:r>
        <w:rPr>
          <w:rFonts w:ascii="Calibri" w:cs="Calibri" w:eastAsia="Calibri" w:hAnsi="Calibri"/>
          <w:b/>
          <w:bCs/>
          <w:color w:val="1C2B39"/>
          <w:sz w:val="20"/>
          <w:szCs w:val="20"/>
        </w:rPr>
        <w:t xml:space="preserve">Vega OS platform risk. </w:t>
      </w:r>
      <w:r>
        <w:rPr>
          <w:rFonts w:ascii="Calibri" w:cs="Calibri" w:eastAsia="Calibri" w:hAnsi="Calibri"/>
          <w:sz w:val="20"/>
          <w:szCs w:val="20"/>
        </w:rPr>
        <w:t xml:space="preserve">Amazon's Fire TV line is migrating to Vega OS, which does not run Android APKs. Whatever is true about the stick's software flexibility today is not guaranteed to remain true.</w:t>
      </w:r>
    </w:p>
    <w:p>
      <w:pPr>
        <w:spacing w:after="50" w:before="110"/>
      </w:pPr>
      <w:r>
        <w:rPr>
          <w:rFonts w:ascii="Calibri" w:cs="Calibri" w:eastAsia="Calibri" w:hAnsi="Calibri"/>
          <w:b/>
          <w:bCs/>
          <w:color w:val="F4762B"/>
          <w:sz w:val="20"/>
          <w:szCs w:val="20"/>
        </w:rPr>
        <w:t xml:space="preserve">9.3  </w:t>
      </w:r>
      <w:r>
        <w:rPr>
          <w:rFonts w:ascii="Calibri" w:cs="Calibri" w:eastAsia="Calibri" w:hAnsi="Calibri"/>
          <w:b/>
          <w:bCs/>
          <w:color w:val="1C2B39"/>
          <w:sz w:val="20"/>
          <w:szCs w:val="20"/>
        </w:rPr>
        <w:t xml:space="preserve">Specific to the Raspberry Pi Path</w:t>
      </w:r>
    </w:p>
    <w:p>
      <w:pPr>
        <w:spacing w:after="90" w:before="60"/>
      </w:pPr>
      <w:r>
        <w:rPr>
          <w:rFonts w:ascii="Calibri" w:cs="Calibri" w:eastAsia="Calibri" w:hAnsi="Calibri"/>
          <w:b/>
          <w:bCs/>
          <w:color w:val="1C2B39"/>
          <w:sz w:val="20"/>
          <w:szCs w:val="20"/>
        </w:rPr>
        <w:t xml:space="preserve">Chromium's own memory creep. </w:t>
      </w:r>
      <w:r>
        <w:rPr>
          <w:rFonts w:ascii="Calibri" w:cs="Calibri" w:eastAsia="Calibri" w:hAnsi="Calibri"/>
          <w:sz w:val="20"/>
          <w:szCs w:val="20"/>
        </w:rPr>
        <w:t xml:space="preserve">Real and reported independent of RAM tier — several tabs kept open for a few days can exhaust available memory without mitigation. The restart-browser command exists specifically for this; a nightly scheduled restart is cheap insurance regardless of how comfortable the RAM headroom is.</w:t>
      </w:r>
    </w:p>
    <w:p>
      <w:pPr>
        <w:spacing w:after="90" w:before="60"/>
      </w:pPr>
      <w:r>
        <w:rPr>
          <w:rFonts w:ascii="Calibri" w:cs="Calibri" w:eastAsia="Calibri" w:hAnsi="Calibri"/>
          <w:b/>
          <w:bCs/>
          <w:color w:val="1C2B39"/>
          <w:sz w:val="20"/>
          <w:szCs w:val="20"/>
        </w:rPr>
        <w:t xml:space="preserve">We own OS patching and hardening. </w:t>
      </w:r>
      <w:r>
        <w:rPr>
          <w:rFonts w:ascii="Calibri" w:cs="Calibri" w:eastAsia="Calibri" w:hAnsi="Calibri"/>
          <w:sz w:val="20"/>
          <w:szCs w:val="20"/>
        </w:rPr>
        <w:t xml:space="preserve">No vendor support line if something goes wrong — offset somewhat by boards being cheap and quickly swappable, but real ongoing operational ownership that the Signage Stick path would not have carried.</w:t>
      </w:r>
    </w:p>
    <w:p>
      <w:pPr>
        <w:spacing w:after="90" w:before="60"/>
      </w:pPr>
      <w:r>
        <w:rPr>
          <w:rFonts w:ascii="Calibri" w:cs="Calibri" w:eastAsia="Calibri" w:hAnsi="Calibri"/>
          <w:b/>
          <w:bCs/>
          <w:color w:val="1C2B39"/>
          <w:sz w:val="20"/>
          <w:szCs w:val="20"/>
        </w:rPr>
        <w:t xml:space="preserve">RAM pricing volatility. </w:t>
      </w:r>
      <w:r>
        <w:rPr>
          <w:rFonts w:ascii="Calibri" w:cs="Calibri" w:eastAsia="Calibri" w:hAnsi="Calibri"/>
          <w:sz w:val="20"/>
          <w:szCs w:val="20"/>
        </w:rPr>
        <w:t xml:space="preserve">Covered in detail in section 2.3 — get a live quote before ordering thirty units.</w:t>
      </w:r>
    </w:p>
    <w:p>
      <w:pPr>
        <w:pageBreakBefore/>
        <w:spacing w:after="70" w:before="0"/>
      </w:pPr>
      <w:r>
        <w:rPr>
          <w:rFonts w:ascii="Calibri" w:cs="Calibri" w:eastAsia="Calibri" w:hAnsi="Calibri"/>
          <w:b/>
          <w:bCs/>
          <w:color w:val="F4762B"/>
          <w:sz w:val="23"/>
          <w:szCs w:val="23"/>
        </w:rPr>
        <w:t xml:space="preserve">10.0  </w:t>
      </w:r>
      <w:r>
        <w:rPr>
          <w:rFonts w:ascii="Calibri" w:cs="Calibri" w:eastAsia="Calibri" w:hAnsi="Calibri"/>
          <w:b/>
          <w:bCs/>
          <w:color w:val="1C2B39"/>
          <w:sz w:val="23"/>
          <w:szCs w:val="23"/>
        </w:rPr>
        <w:t xml:space="preserve">Shared Services &amp; Standard Features</w:t>
      </w:r>
    </w:p>
    <w:p>
      <w:pPr>
        <w:spacing w:after="90"/>
      </w:pPr>
      <w:r>
        <w:rPr>
          <w:rFonts w:ascii="Calibri" w:cs="Calibri" w:eastAsia="Calibri" w:hAnsi="Calibri"/>
          <w:sz w:val="20"/>
          <w:szCs w:val="20"/>
        </w:rPr>
        <w:t xml:space="preserve">Per the reuse gate, a decision is recorded on every row, including the ones we skip.</w:t>
      </w:r>
    </w:p>
    <w:p>
      <w:pPr>
        <w:spacing w:after="35" w:before="60"/>
      </w:pPr>
      <w:r>
        <w:rPr>
          <w:rFonts w:ascii="Calibri" w:cs="Calibri" w:eastAsia="Calibri" w:hAnsi="Calibri"/>
          <w:b/>
          <w:bCs/>
          <w:i/>
          <w:iCs/>
          <w:sz w:val="20"/>
          <w:szCs w:val="20"/>
        </w:rPr>
        <w:t xml:space="preserve">Table 5 — Shared services decisions for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Service</w:t>
            </w:r>
          </w:p>
        </w:tc>
        <w:tc>
          <w:tcPr>
            <w:tcW w:type="dxa" w:w="100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Use</w:t>
            </w:r>
          </w:p>
        </w:tc>
        <w:tc>
          <w:tcPr>
            <w:tcW w:type="dxa" w:w="6060"/>
            <w:shd w:fill="1C2B39" w:val="clear"/>
            <w:tcMar>
              <w:top w:type="dxa" w:w="45"/>
              <w:left w:type="dxa" w:w="120"/>
              <w:bottom w:type="dxa" w:w="45"/>
              <w:right w:type="dxa" w:w="120"/>
            </w:tcMar>
          </w:tcPr>
          <w:p>
            <w:pPr>
              <w:spacing w:after="0"/>
            </w:pPr>
            <w:r>
              <w:rPr>
                <w:rFonts w:ascii="Calibri" w:cs="Calibri" w:eastAsia="Calibri" w:hAnsi="Calibri"/>
                <w:b/>
                <w:bCs/>
                <w:color w:val="FFFFFF"/>
                <w:sz w:val="19"/>
                <w:szCs w:val="19"/>
              </w:rPr>
              <w:t xml:space="preserve">Decision</w:t>
            </w:r>
          </w:p>
        </w:tc>
      </w:tr>
      <w:tr>
        <w:trPr>
          <w:cantSplit/>
        </w:trPr>
        <w:tc>
          <w:tcPr>
            <w:tcW w:type="dxa" w:w="23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Seaway.AppSecurity</w:t>
            </w:r>
          </w:p>
        </w:tc>
        <w:tc>
          <w:tcPr>
            <w:tcW w:type="dxa" w:w="1000"/>
            <w:tcMar>
              <w:top w:type="dxa" w:w="70"/>
              <w:left w:type="dxa" w:w="120"/>
              <w:bottom w:type="dxa" w:w="70"/>
              <w:right w:type="dxa" w:w="120"/>
            </w:tcMar>
            <w:vAlign w:val="center"/>
          </w:tcPr>
          <w:p>
            <w:pPr>
              <w:spacing w:after="0"/>
              <w:jc w:val="center"/>
            </w:pPr>
            <w:r>
              <w:rPr>
                <w:rFonts w:ascii="Calibri" w:cs="Calibri" w:eastAsia="Calibri" w:hAnsi="Calibri"/>
                <w:b/>
                <w:bCs/>
                <w:color w:val="1E8449"/>
                <w:sz w:val="28"/>
                <w:szCs w:val="28"/>
              </w:rPr>
              <w:t xml:space="preserve">✓</w:t>
            </w:r>
          </w:p>
        </w:tc>
        <w:tc>
          <w:tcPr>
            <w:tcW w:type="dxa" w:w="60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Admin UI sign-in. Internal users only. Roles: SignageAdmin, SignageEditor, SignageViewer. Note that AppSecurity adds no role claims — use HttpContext.GetSeawayUser()?.IsInRole(...), not [Authorize(Roles = …)].</w:t>
            </w:r>
          </w:p>
        </w:tc>
      </w:tr>
      <w:tr>
        <w:trPr>
          <w:cantSplit/>
        </w:trPr>
        <w:tc>
          <w:tcPr>
            <w:tcW w:type="dxa" w:w="23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Seaway.Notifications</w:t>
            </w:r>
          </w:p>
        </w:tc>
        <w:tc>
          <w:tcPr>
            <w:tcW w:type="dxa" w:w="1000"/>
            <w:tcMar>
              <w:top w:type="dxa" w:w="70"/>
              <w:left w:type="dxa" w:w="120"/>
              <w:bottom w:type="dxa" w:w="70"/>
              <w:right w:type="dxa" w:w="120"/>
            </w:tcMar>
            <w:vAlign w:val="center"/>
          </w:tcPr>
          <w:p>
            <w:pPr>
              <w:spacing w:after="0"/>
              <w:jc w:val="center"/>
            </w:pPr>
            <w:r>
              <w:rPr>
                <w:rFonts w:ascii="Calibri" w:cs="Calibri" w:eastAsia="Calibri" w:hAnsi="Calibri"/>
                <w:b/>
                <w:bCs/>
                <w:color w:val="1E8449"/>
                <w:sz w:val="28"/>
                <w:szCs w:val="28"/>
              </w:rPr>
              <w:t xml:space="preserve">✓</w:t>
            </w:r>
          </w:p>
        </w:tc>
        <w:tc>
          <w:tcPr>
            <w:tcW w:type="dxa" w:w="60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Required regardless: AppSecurity depends on it, and the app will not start without the database grant. Real use is the dark-display alert, over email and Teams. Ship the /Admin/Notifications UI.</w:t>
            </w:r>
          </w:p>
        </w:tc>
      </w:tr>
      <w:tr>
        <w:trPr>
          <w:cantSplit/>
        </w:trPr>
        <w:tc>
          <w:tcPr>
            <w:tcW w:type="dxa" w:w="23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Seaway.Storage</w:t>
            </w:r>
          </w:p>
        </w:tc>
        <w:tc>
          <w:tcPr>
            <w:tcW w:type="dxa" w:w="1000"/>
            <w:tcMar>
              <w:top w:type="dxa" w:w="70"/>
              <w:left w:type="dxa" w:w="120"/>
              <w:bottom w:type="dxa" w:w="70"/>
              <w:right w:type="dxa" w:w="120"/>
            </w:tcMar>
            <w:vAlign w:val="center"/>
          </w:tcPr>
          <w:p>
            <w:pPr>
              <w:spacing w:after="0"/>
              <w:jc w:val="center"/>
            </w:pPr>
            <w:r>
              <w:rPr>
                <w:rFonts w:ascii="Calibri" w:cs="Calibri" w:eastAsia="Calibri" w:hAnsi="Calibri"/>
                <w:b/>
                <w:bCs/>
                <w:color w:val="1E8449"/>
                <w:sz w:val="28"/>
                <w:szCs w:val="28"/>
              </w:rPr>
              <w:t xml:space="preserve">✓</w:t>
            </w:r>
          </w:p>
        </w:tc>
        <w:tc>
          <w:tcPr>
            <w:tcW w:type="dxa" w:w="60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Narrow use only: static fallback and notice assets (images, short video). One entity type, short retention. Not used for snapshots, which are transient.</w:t>
            </w:r>
          </w:p>
        </w:tc>
      </w:tr>
      <w:tr>
        <w:trPr>
          <w:cantSplit/>
        </w:trPr>
        <w:tc>
          <w:tcPr>
            <w:tcW w:type="dxa" w:w="23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Seaway.JobEngine</w:t>
            </w:r>
          </w:p>
        </w:tc>
        <w:tc>
          <w:tcPr>
            <w:tcW w:type="dxa" w:w="1000"/>
            <w:tcMar>
              <w:top w:type="dxa" w:w="70"/>
              <w:left w:type="dxa" w:w="120"/>
              <w:bottom w:type="dxa" w:w="70"/>
              <w:right w:type="dxa" w:w="120"/>
            </w:tcMar>
            <w:vAlign w:val="center"/>
          </w:tcPr>
          <w:p>
            <w:pPr>
              <w:spacing w:after="0"/>
              <w:jc w:val="center"/>
            </w:pPr>
            <w:r>
              <w:rPr>
                <w:rFonts w:ascii="Calibri" w:cs="Calibri" w:eastAsia="Calibri" w:hAnsi="Calibri"/>
                <w:b/>
                <w:bCs/>
                <w:color w:val="C0392B"/>
                <w:sz w:val="28"/>
                <w:szCs w:val="28"/>
              </w:rPr>
              <w:t xml:space="preserve">✗</w:t>
            </w:r>
          </w:p>
        </w:tc>
        <w:tc>
          <w:tcPr>
            <w:tcW w:type="dxa" w:w="60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This app creates no Tharstern print jobs and has no JDF path. Explicitly skipped.</w:t>
            </w:r>
          </w:p>
        </w:tc>
      </w:tr>
      <w:tr>
        <w:trPr>
          <w:cantSplit/>
        </w:trPr>
        <w:tc>
          <w:tcPr>
            <w:tcW w:type="dxa" w:w="23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Seaway.Portal</w:t>
            </w:r>
          </w:p>
        </w:tc>
        <w:tc>
          <w:tcPr>
            <w:tcW w:type="dxa" w:w="1000"/>
            <w:tcMar>
              <w:top w:type="dxa" w:w="70"/>
              <w:left w:type="dxa" w:w="120"/>
              <w:bottom w:type="dxa" w:w="70"/>
              <w:right w:type="dxa" w:w="120"/>
            </w:tcMar>
            <w:vAlign w:val="center"/>
          </w:tcPr>
          <w:p>
            <w:pPr>
              <w:spacing w:after="0"/>
              <w:jc w:val="center"/>
            </w:pPr>
            <w:r>
              <w:rPr>
                <w:rFonts w:ascii="Calibri" w:cs="Calibri" w:eastAsia="Calibri" w:hAnsi="Calibri"/>
                <w:b/>
                <w:bCs/>
                <w:color w:val="1E8449"/>
                <w:sz w:val="28"/>
                <w:szCs w:val="28"/>
              </w:rPr>
              <w:t xml:space="preserve">✓</w:t>
            </w:r>
          </w:p>
        </w:tc>
        <w:tc>
          <w:tcPr>
            <w:tcW w:type="dxa" w:w="60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Tile for the admin UI under Operations / Internal Tools. Check the Access Denied page reads sensibly to someone arriving cold from the launcher.</w:t>
            </w:r>
          </w:p>
        </w:tc>
      </w:tr>
      <w:tr>
        <w:trPr>
          <w:cantSplit/>
        </w:trPr>
        <w:tc>
          <w:tcPr>
            <w:tcW w:type="dxa" w:w="23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Seaway.AdminUi</w:t>
            </w:r>
          </w:p>
        </w:tc>
        <w:tc>
          <w:tcPr>
            <w:tcW w:type="dxa" w:w="1000"/>
            <w:tcMar>
              <w:top w:type="dxa" w:w="70"/>
              <w:left w:type="dxa" w:w="120"/>
              <w:bottom w:type="dxa" w:w="70"/>
              <w:right w:type="dxa" w:w="120"/>
            </w:tcMar>
            <w:vAlign w:val="center"/>
          </w:tcPr>
          <w:p>
            <w:pPr>
              <w:spacing w:after="0"/>
              <w:jc w:val="center"/>
            </w:pPr>
            <w:r>
              <w:rPr>
                <w:rFonts w:ascii="Calibri" w:cs="Calibri" w:eastAsia="Calibri" w:hAnsi="Calibri"/>
                <w:b/>
                <w:bCs/>
                <w:color w:val="1E8449"/>
                <w:sz w:val="28"/>
                <w:szCs w:val="28"/>
              </w:rPr>
              <w:t xml:space="preserve">✓</w:t>
            </w:r>
          </w:p>
        </w:tc>
        <w:tc>
          <w:tcPr>
            <w:tcW w:type="dxa" w:w="60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Default-on. /Admin with assembly version and act-as. Requires CHANGELOG.md and csproj version properties copied into the publish output. Impersonation targets are SignageEditor and SignageViewer, never SignageAdmin. Take the package; do not hand-copy an ImpersonationHelper.</w:t>
            </w:r>
          </w:p>
        </w:tc>
      </w:tr>
      <w:tr>
        <w:trPr>
          <w:cantSplit/>
        </w:trPr>
        <w:tc>
          <w:tcPr>
            <w:tcW w:type="dxa" w:w="230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Seaway.Mailer</w:t>
            </w:r>
          </w:p>
        </w:tc>
        <w:tc>
          <w:tcPr>
            <w:tcW w:type="dxa" w:w="1000"/>
            <w:tcMar>
              <w:top w:type="dxa" w:w="70"/>
              <w:left w:type="dxa" w:w="120"/>
              <w:bottom w:type="dxa" w:w="70"/>
              <w:right w:type="dxa" w:w="120"/>
            </w:tcMar>
            <w:vAlign w:val="center"/>
          </w:tcPr>
          <w:p>
            <w:pPr>
              <w:spacing w:after="0"/>
              <w:jc w:val="center"/>
            </w:pPr>
            <w:r>
              <w:rPr>
                <w:rFonts w:ascii="Calibri" w:cs="Calibri" w:eastAsia="Calibri" w:hAnsi="Calibri"/>
                <w:b/>
                <w:bCs/>
                <w:color w:val="C0392B"/>
                <w:sz w:val="28"/>
                <w:szCs w:val="28"/>
              </w:rPr>
              <w:t xml:space="preserve">✗</w:t>
            </w:r>
          </w:p>
        </w:tc>
        <w:tc>
          <w:tcPr>
            <w:tcW w:type="dxa" w:w="6060"/>
            <w:tcMar>
              <w:top w:type="dxa" w:w="45"/>
              <w:left w:type="dxa" w:w="120"/>
              <w:bottom w:type="dxa" w:w="45"/>
              <w:right w:type="dxa" w:w="120"/>
            </w:tcMar>
          </w:tcPr>
          <w:p>
            <w:pPr>
              <w:spacing w:after="0"/>
            </w:pPr>
            <w:r>
              <w:rPr>
                <w:rFonts w:ascii="Calibri" w:cs="Calibri" w:eastAsia="Calibri" w:hAnsi="Calibri"/>
                <w:b w:val="false"/>
                <w:bCs w:val="false"/>
                <w:sz w:val="19"/>
                <w:szCs w:val="19"/>
              </w:rPr>
              <w:t xml:space="preserve">Deprecated. Never referenced in new code.</w:t>
            </w:r>
          </w:p>
        </w:tc>
      </w:tr>
    </w:tbl>
    <w:p>
      <w:pPr>
        <w:spacing w:after="50" w:before="110"/>
      </w:pPr>
      <w:r>
        <w:rPr>
          <w:rFonts w:ascii="Calibri" w:cs="Calibri" w:eastAsia="Calibri" w:hAnsi="Calibri"/>
          <w:b/>
          <w:bCs/>
          <w:color w:val="F4762B"/>
          <w:sz w:val="20"/>
          <w:szCs w:val="20"/>
        </w:rPr>
        <w:t xml:space="preserve">10.1  </w:t>
      </w:r>
      <w:r>
        <w:rPr>
          <w:rFonts w:ascii="Calibri" w:cs="Calibri" w:eastAsia="Calibri" w:hAnsi="Calibri"/>
          <w:b/>
          <w:bCs/>
          <w:color w:val="1C2B39"/>
          <w:sz w:val="20"/>
          <w:szCs w:val="20"/>
        </w:rPr>
        <w:t xml:space="preserve">Capabilities With No Card</w:t>
      </w:r>
    </w:p>
    <w:p>
      <w:pPr>
        <w:spacing w:after="90"/>
      </w:pPr>
      <w:r>
        <w:rPr>
          <w:rFonts w:ascii="Calibri" w:cs="Calibri" w:eastAsia="Calibri" w:hAnsi="Calibri"/>
          <w:sz w:val="20"/>
          <w:szCs w:val="20"/>
        </w:rPr>
        <w:t xml:space="preserve">Two capabilities in this design have no entry in either register: device identity and kiosk display tokens (section 6.1), and on-prem headless page rendering (section 8.0). Under the promotion rule this is the first application to need either, so no card is required yet. It is flagged here so it is not a surprise later: if a second Seaway application needs display device tokens, that is the moment it needs a card, a conformance definition and a named owner.</w:t>
      </w:r>
    </w:p>
    <w:p>
      <w:pPr>
        <w:spacing w:after="50" w:before="110"/>
      </w:pPr>
      <w:r>
        <w:rPr>
          <w:rFonts w:ascii="Calibri" w:cs="Calibri" w:eastAsia="Calibri" w:hAnsi="Calibri"/>
          <w:b/>
          <w:bCs/>
          <w:color w:val="F4762B"/>
          <w:sz w:val="20"/>
          <w:szCs w:val="20"/>
        </w:rPr>
        <w:t xml:space="preserve">10.2  </w:t>
      </w:r>
      <w:r>
        <w:rPr>
          <w:rFonts w:ascii="Calibri" w:cs="Calibri" w:eastAsia="Calibri" w:hAnsi="Calibri"/>
          <w:b/>
          <w:bCs/>
          <w:color w:val="1C2B39"/>
          <w:sz w:val="20"/>
          <w:szCs w:val="20"/>
        </w:rPr>
        <w:t xml:space="preserve">Styling</w:t>
      </w:r>
    </w:p>
    <w:p>
      <w:pPr>
        <w:pStyle w:val="ListParagraph"/>
        <w:numPr>
          <w:ilvl w:val="0"/>
          <w:numId w:val="2"/>
        </w:numPr>
        <w:spacing w:after="35"/>
      </w:pPr>
      <w:r>
        <w:rPr>
          <w:rFonts w:ascii="Calibri" w:cs="Calibri" w:eastAsia="Calibri" w:hAnsi="Calibri"/>
          <w:sz w:val="20"/>
          <w:szCs w:val="20"/>
        </w:rPr>
        <w:t xml:space="preserve">The admin UI and the display-only screens follow seaway-app-style (Direction 1).</w:t>
      </w:r>
    </w:p>
    <w:p>
      <w:pPr>
        <w:pStyle w:val="ListParagraph"/>
        <w:numPr>
          <w:ilvl w:val="0"/>
          <w:numId w:val="2"/>
        </w:numPr>
        <w:spacing w:after="35"/>
      </w:pPr>
      <w:r>
        <w:rPr>
          <w:rFonts w:ascii="Calibri" w:cs="Calibri" w:eastAsia="Calibri" w:hAnsi="Calibri"/>
          <w:sz w:val="20"/>
          <w:szCs w:val="20"/>
        </w:rPr>
        <w:t xml:space="preserve">Display screens need a deliberate variant of it. Viewing distance is three to ten metres, not fifty centimetres, so expect to define a larger type scale, heavier weights and higher-contrast pairings as an explicit signage extension rather than reusing app-screen sizing.</w:t>
      </w:r>
    </w:p>
    <w:p>
      <w:pPr>
        <w:pStyle w:val="ListParagraph"/>
        <w:numPr>
          <w:ilvl w:val="0"/>
          <w:numId w:val="2"/>
        </w:numPr>
        <w:spacing w:after="35"/>
      </w:pPr>
      <w:r>
        <w:rPr>
          <w:rFonts w:ascii="Calibri" w:cs="Calibri" w:eastAsia="Calibri" w:hAnsi="Calibri"/>
          <w:sz w:val="20"/>
          <w:szCs w:val="20"/>
        </w:rPr>
        <w:t xml:space="preserve">Installation and runbook documentation follows seaway-document-style. If any of it becomes a floor procedure, it moves to seaway-sop-builder for numbering.</w:t>
      </w:r>
    </w:p>
    <w:p>
      <w:pPr>
        <w:spacing w:after="70" w:before="170"/>
      </w:pPr>
      <w:r>
        <w:rPr>
          <w:rFonts w:ascii="Calibri" w:cs="Calibri" w:eastAsia="Calibri" w:hAnsi="Calibri"/>
          <w:b/>
          <w:bCs/>
          <w:color w:val="F4762B"/>
          <w:sz w:val="23"/>
          <w:szCs w:val="23"/>
        </w:rPr>
        <w:t xml:space="preserve">11.0  </w:t>
      </w:r>
      <w:r>
        <w:rPr>
          <w:rFonts w:ascii="Calibri" w:cs="Calibri" w:eastAsia="Calibri" w:hAnsi="Calibri"/>
          <w:b/>
          <w:bCs/>
          <w:color w:val="1C2B39"/>
          <w:sz w:val="23"/>
          <w:szCs w:val="23"/>
        </w:rPr>
        <w:t xml:space="preserve">Phasing</w:t>
      </w:r>
    </w:p>
    <w:p>
      <w:pPr>
        <w:spacing w:after="50" w:before="110"/>
      </w:pPr>
      <w:r>
        <w:rPr>
          <w:rFonts w:ascii="Calibri" w:cs="Calibri" w:eastAsia="Calibri" w:hAnsi="Calibri"/>
          <w:b/>
          <w:bCs/>
          <w:color w:val="F4762B"/>
          <w:sz w:val="20"/>
          <w:szCs w:val="20"/>
        </w:rPr>
        <w:t xml:space="preserve">11.1  </w:t>
      </w:r>
      <w:r>
        <w:rPr>
          <w:rFonts w:ascii="Calibri" w:cs="Calibri" w:eastAsia="Calibri" w:hAnsi="Calibri"/>
          <w:b/>
          <w:bCs/>
          <w:color w:val="1C2B39"/>
          <w:sz w:val="20"/>
          <w:szCs w:val="20"/>
        </w:rPr>
        <w:t xml:space="preserve">Phase 0 — Spikes (2–3 units, ~1 week)</w:t>
      </w:r>
    </w:p>
    <w:p>
      <w:pPr>
        <w:spacing w:after="90"/>
      </w:pPr>
      <w:r>
        <w:rPr>
          <w:rFonts w:ascii="Calibri" w:cs="Calibri" w:eastAsia="Calibri" w:hAnsi="Calibri"/>
          <w:sz w:val="20"/>
          <w:szCs w:val="20"/>
        </w:rPr>
        <w:t xml:space="preserve">Buy a small batch — two or three Pi 4/5 (4GB) units and a couple of screens — and answer the questions that would change the plan:</w:t>
      </w:r>
    </w:p>
    <w:p>
      <w:pPr>
        <w:pStyle w:val="ListParagraph"/>
        <w:numPr>
          <w:ilvl w:val="0"/>
          <w:numId w:val="2"/>
        </w:numPr>
        <w:spacing w:after="35"/>
      </w:pPr>
      <w:r>
        <w:rPr>
          <w:rFonts w:ascii="Calibri" w:cs="Calibri" w:eastAsia="Calibri" w:hAnsi="Calibri"/>
          <w:sz w:val="20"/>
          <w:szCs w:val="20"/>
        </w:rPr>
        <w:t xml:space="preserve">Does Chromium keeping three to four tabs warm hold up on a 4GB board under real Seaway content — dashboards, live-updating pages — without hitting the memory creep in section 9.3 within a day?</w:t>
      </w:r>
    </w:p>
    <w:p>
      <w:pPr>
        <w:pStyle w:val="ListParagraph"/>
        <w:numPr>
          <w:ilvl w:val="0"/>
          <w:numId w:val="2"/>
        </w:numPr>
        <w:spacing w:after="35"/>
      </w:pPr>
      <w:r>
        <w:rPr>
          <w:rFonts w:ascii="Calibri" w:cs="Calibri" w:eastAsia="Calibri" w:hAnsi="Calibri"/>
          <w:sz w:val="20"/>
          <w:szCs w:val="20"/>
        </w:rPr>
        <w:t xml:space="preserve">Does a USB SSD boot cleanly and survive a hard power cut without corruption?</w:t>
      </w:r>
    </w:p>
    <w:p>
      <w:pPr>
        <w:pStyle w:val="ListParagraph"/>
        <w:numPr>
          <w:ilvl w:val="0"/>
          <w:numId w:val="2"/>
        </w:numPr>
        <w:spacing w:after="35"/>
      </w:pPr>
      <w:r>
        <w:rPr>
          <w:rFonts w:ascii="Calibri" w:cs="Calibri" w:eastAsia="Calibri" w:hAnsi="Calibri"/>
          <w:sz w:val="20"/>
          <w:szCs w:val="20"/>
        </w:rPr>
        <w:t xml:space="preserve">Does the rotation pane-swap avoid a visible blank flash on the pages that stay warm?</w:t>
      </w:r>
    </w:p>
    <w:p>
      <w:pPr>
        <w:pStyle w:val="ListParagraph"/>
        <w:numPr>
          <w:ilvl w:val="0"/>
          <w:numId w:val="2"/>
        </w:numPr>
        <w:spacing w:after="35"/>
      </w:pPr>
      <w:r>
        <w:rPr>
          <w:rFonts w:ascii="Calibri" w:cs="Calibri" w:eastAsia="Calibri" w:hAnsi="Calibri"/>
          <w:sz w:val="20"/>
          <w:szCs w:val="20"/>
        </w:rPr>
        <w:t xml:space="preserve">Does HDMI-CEC work against the actual target screens, for a scheduled power-off?</w:t>
      </w:r>
    </w:p>
    <w:p>
      <w:pPr>
        <w:pStyle w:val="ListParagraph"/>
        <w:numPr>
          <w:ilvl w:val="0"/>
          <w:numId w:val="2"/>
        </w:numPr>
        <w:spacing w:after="35"/>
      </w:pPr>
      <w:r>
        <w:rPr>
          <w:rFonts w:ascii="Calibri" w:cs="Calibri" w:eastAsia="Calibri" w:hAnsi="Calibri"/>
          <w:sz w:val="20"/>
          <w:szCs w:val="20"/>
        </w:rPr>
        <w:t xml:space="preserve">Confirm current Pi 4 versus Pi 5 (4GB) pricing before committing to a SKU across thirty units.</w:t>
      </w:r>
    </w:p>
    <w:p>
      <w:pPr>
        <w:spacing w:after="90"/>
      </w:pPr>
      <w:r>
        <w:rPr>
          <w:rFonts w:ascii="Calibri" w:cs="Calibri" w:eastAsia="Calibri" w:hAnsi="Calibri"/>
          <w:sz w:val="20"/>
          <w:szCs w:val="20"/>
        </w:rPr>
        <w:t xml:space="preserve">If the Signage Stick path is chosen instead, run this checklist against one stick and one screen:</w:t>
      </w:r>
    </w:p>
    <w:p>
      <w:pPr>
        <w:pStyle w:val="ListParagraph"/>
        <w:numPr>
          <w:ilvl w:val="0"/>
          <w:numId w:val="2"/>
        </w:numPr>
        <w:spacing w:after="35"/>
      </w:pPr>
      <w:r>
        <w:rPr>
          <w:rFonts w:ascii="Calibri" w:cs="Calibri" w:eastAsia="Calibri" w:hAnsi="Calibri"/>
          <w:sz w:val="20"/>
          <w:szCs w:val="20"/>
        </w:rPr>
        <w:t xml:space="preserve">Can the Amazon Signage console point a stick at an arbitrary URL, and does it persist across reboot and power loss?</w:t>
      </w:r>
    </w:p>
    <w:p>
      <w:pPr>
        <w:pStyle w:val="ListParagraph"/>
        <w:numPr>
          <w:ilvl w:val="0"/>
          <w:numId w:val="2"/>
        </w:numPr>
        <w:spacing w:after="35"/>
      </w:pPr>
      <w:r>
        <w:rPr>
          <w:rFonts w:ascii="Calibri" w:cs="Calibri" w:eastAsia="Calibri" w:hAnsi="Calibri"/>
          <w:sz w:val="20"/>
          <w:szCs w:val="20"/>
        </w:rPr>
        <w:t xml:space="preserve">Can Remote Management API credentials be obtained as an end customer?</w:t>
      </w:r>
    </w:p>
    <w:p>
      <w:pPr>
        <w:pStyle w:val="ListParagraph"/>
        <w:numPr>
          <w:ilvl w:val="0"/>
          <w:numId w:val="2"/>
        </w:numPr>
        <w:spacing w:after="35"/>
      </w:pPr>
      <w:r>
        <w:rPr>
          <w:rFonts w:ascii="Calibri" w:cs="Calibri" w:eastAsia="Calibri" w:hAnsi="Calibri"/>
          <w:sz w:val="20"/>
          <w:szCs w:val="20"/>
        </w:rPr>
        <w:t xml:space="preserve">Does a publicly-trusted certificate on a split-horizon internal name work on the stick's webview?</w:t>
      </w:r>
    </w:p>
    <w:p>
      <w:pPr>
        <w:pStyle w:val="ListParagraph"/>
        <w:numPr>
          <w:ilvl w:val="0"/>
          <w:numId w:val="2"/>
        </w:numPr>
        <w:spacing w:after="35"/>
      </w:pPr>
      <w:r>
        <w:rPr>
          <w:rFonts w:ascii="Calibri" w:cs="Calibri" w:eastAsia="Calibri" w:hAnsi="Calibri"/>
          <w:sz w:val="20"/>
          <w:szCs w:val="20"/>
        </w:rPr>
        <w:t xml:space="preserve">Does the kiosk webview support SSE, keeping multiple pages warm, and local storage?</w:t>
      </w:r>
    </w:p>
    <w:p>
      <w:pPr>
        <w:spacing w:after="90"/>
      </w:pPr>
      <w:r>
        <w:rPr>
          <w:rFonts w:ascii="Calibri" w:cs="Calibri" w:eastAsia="Calibri" w:hAnsi="Calibri"/>
          <w:sz w:val="20"/>
          <w:szCs w:val="20"/>
        </w:rPr>
        <w:t xml:space="preserve">Phase 0 is a gate. Nothing else starts until it answers cleanly.</w:t>
      </w:r>
    </w:p>
    <w:p>
      <w:pPr>
        <w:spacing w:after="50" w:before="110"/>
      </w:pPr>
      <w:r>
        <w:rPr>
          <w:rFonts w:ascii="Calibri" w:cs="Calibri" w:eastAsia="Calibri" w:hAnsi="Calibri"/>
          <w:b/>
          <w:bCs/>
          <w:color w:val="F4762B"/>
          <w:sz w:val="20"/>
          <w:szCs w:val="20"/>
        </w:rPr>
        <w:t xml:space="preserve">11.2  </w:t>
      </w:r>
      <w:r>
        <w:rPr>
          <w:rFonts w:ascii="Calibri" w:cs="Calibri" w:eastAsia="Calibri" w:hAnsi="Calibri"/>
          <w:b/>
          <w:bCs/>
          <w:color w:val="1C2B39"/>
          <w:sz w:val="20"/>
          <w:szCs w:val="20"/>
        </w:rPr>
        <w:t xml:space="preserve">Phase 1 — Thinnest Vertical Slice (~1 week)</w:t>
      </w:r>
    </w:p>
    <w:p>
      <w:pPr>
        <w:spacing w:after="90"/>
      </w:pPr>
      <w:r>
        <w:rPr>
          <w:rFonts w:ascii="Calibri" w:cs="Calibri" w:eastAsia="Calibri" w:hAnsi="Calibri"/>
          <w:sz w:val="20"/>
          <w:szCs w:val="20"/>
        </w:rPr>
        <w:t xml:space="preserve">One group, one rotation of two to three real pages, the pairing flow, the local rotation cache, the heartbeat. Exit criterion: a screen rotates correctly and survives a weekend, including an overnight power cut, with nobody touching it. That single test retires most of the operational risk in this plan.</w:t>
      </w:r>
    </w:p>
    <w:p>
      <w:pPr>
        <w:spacing w:after="50" w:before="110"/>
      </w:pPr>
      <w:r>
        <w:rPr>
          <w:rFonts w:ascii="Calibri" w:cs="Calibri" w:eastAsia="Calibri" w:hAnsi="Calibri"/>
          <w:b/>
          <w:bCs/>
          <w:color w:val="F4762B"/>
          <w:sz w:val="20"/>
          <w:szCs w:val="20"/>
        </w:rPr>
        <w:t xml:space="preserve">11.3  </w:t>
      </w:r>
      <w:r>
        <w:rPr>
          <w:rFonts w:ascii="Calibri" w:cs="Calibri" w:eastAsia="Calibri" w:hAnsi="Calibri"/>
          <w:b/>
          <w:bCs/>
          <w:color w:val="1C2B39"/>
          <w:sz w:val="20"/>
          <w:szCs w:val="20"/>
        </w:rPr>
        <w:t xml:space="preserve">Phase 2 — The Application (~3–4 weeks)</w:t>
      </w:r>
    </w:p>
    <w:p>
      <w:pPr>
        <w:spacing w:after="90"/>
      </w:pPr>
      <w:r>
        <w:rPr>
          <w:rFonts w:ascii="Calibri" w:cs="Calibri" w:eastAsia="Calibri" w:hAnsi="Calibri"/>
          <w:sz w:val="20"/>
          <w:szCs w:val="20"/>
        </w:rPr>
        <w:t xml:space="preserve">Admin UI on AppSecurity, Portal tile, /Admin page, groups, playlists and rotation, the SSE control plane including the device commands from sections 3.3 and 7.1 on the Pi path, display health dashboard, dark-display alerts via Notifications.</w:t>
      </w:r>
    </w:p>
    <w:p>
      <w:pPr>
        <w:spacing w:after="50" w:before="110"/>
      </w:pPr>
      <w:r>
        <w:rPr>
          <w:rFonts w:ascii="Calibri" w:cs="Calibri" w:eastAsia="Calibri" w:hAnsi="Calibri"/>
          <w:b/>
          <w:bCs/>
          <w:color w:val="F4762B"/>
          <w:sz w:val="20"/>
          <w:szCs w:val="20"/>
        </w:rPr>
        <w:t xml:space="preserve">11.4  </w:t>
      </w:r>
      <w:r>
        <w:rPr>
          <w:rFonts w:ascii="Calibri" w:cs="Calibri" w:eastAsia="Calibri" w:hAnsi="Calibri"/>
          <w:b/>
          <w:bCs/>
          <w:color w:val="1C2B39"/>
          <w:sz w:val="20"/>
          <w:szCs w:val="20"/>
        </w:rPr>
        <w:t xml:space="preserve">Phase 3 — Content Depth (~2 weeks)</w:t>
      </w:r>
    </w:p>
    <w:p>
      <w:pPr>
        <w:spacing w:after="90"/>
      </w:pPr>
      <w:r>
        <w:rPr>
          <w:rFonts w:ascii="Calibri" w:cs="Calibri" w:eastAsia="Calibri" w:hAnsi="Calibri"/>
          <w:sz w:val="20"/>
          <w:szCs w:val="20"/>
        </w:rPr>
        <w:t xml:space="preserve">Schedules for shift changes, overrides, the snapshot worker, native display-only screens, the signage type scale.</w:t>
      </w:r>
    </w:p>
    <w:p>
      <w:pPr>
        <w:spacing w:after="50" w:before="110"/>
      </w:pPr>
      <w:r>
        <w:rPr>
          <w:rFonts w:ascii="Calibri" w:cs="Calibri" w:eastAsia="Calibri" w:hAnsi="Calibri"/>
          <w:b/>
          <w:bCs/>
          <w:color w:val="F4762B"/>
          <w:sz w:val="20"/>
          <w:szCs w:val="20"/>
        </w:rPr>
        <w:t xml:space="preserve">11.5  </w:t>
      </w:r>
      <w:r>
        <w:rPr>
          <w:rFonts w:ascii="Calibri" w:cs="Calibri" w:eastAsia="Calibri" w:hAnsi="Calibri"/>
          <w:b/>
          <w:bCs/>
          <w:color w:val="1C2B39"/>
          <w:sz w:val="20"/>
          <w:szCs w:val="20"/>
        </w:rPr>
        <w:t xml:space="preserve">Phase 4 — Device Plane, Signage Stick Path Only (~1 week plus procurement, conditional)</w:t>
      </w:r>
    </w:p>
    <w:p>
      <w:pPr>
        <w:spacing w:after="90"/>
      </w:pPr>
      <w:r>
        <w:rPr>
          <w:rFonts w:ascii="Calibri" w:cs="Calibri" w:eastAsia="Calibri" w:hAnsi="Calibri"/>
          <w:sz w:val="20"/>
          <w:szCs w:val="20"/>
        </w:rPr>
        <w:t xml:space="preserve">Only relevant if the Signage Stick path was chosen instead of the Pi: Remote Management API, nightly power schedule, remote reboot, hardware telemetry merged into the health dashboard. On the Pi path this work is already folded into Phase 2, and there is no separate Phase 4.</w:t>
      </w:r>
    </w:p>
    <w:p>
      <w:pPr>
        <w:spacing w:after="70" w:before="170"/>
      </w:pPr>
      <w:r>
        <w:rPr>
          <w:rFonts w:ascii="Calibri" w:cs="Calibri" w:eastAsia="Calibri" w:hAnsi="Calibri"/>
          <w:b/>
          <w:bCs/>
          <w:color w:val="F4762B"/>
          <w:sz w:val="23"/>
          <w:szCs w:val="23"/>
        </w:rPr>
        <w:t xml:space="preserve">12.0  </w:t>
      </w:r>
      <w:r>
        <w:rPr>
          <w:rFonts w:ascii="Calibri" w:cs="Calibri" w:eastAsia="Calibri" w:hAnsi="Calibri"/>
          <w:b/>
          <w:bCs/>
          <w:color w:val="1C2B39"/>
          <w:sz w:val="23"/>
          <w:szCs w:val="23"/>
        </w:rPr>
        <w:t xml:space="preserve">Open Questions for Seaway</w:t>
      </w:r>
    </w:p>
    <w:p>
      <w:pPr>
        <w:pStyle w:val="ListParagraph"/>
        <w:numPr>
          <w:ilvl w:val="0"/>
          <w:numId w:val="2"/>
        </w:numPr>
        <w:spacing w:after="35"/>
      </w:pPr>
      <w:r>
        <w:rPr>
          <w:rFonts w:ascii="Calibri" w:cs="Calibri" w:eastAsia="Calibri" w:hAnsi="Calibri"/>
          <w:sz w:val="20"/>
          <w:szCs w:val="20"/>
        </w:rPr>
        <w:t xml:space="preserve">Confirm the hardware path. This plan recommends the Pi (section 2.4); if the Signage Stick is still preferred, Phase 0 changes accordingly and the risks in section 9.2 need direct answers first.</w:t>
      </w:r>
    </w:p>
    <w:p>
      <w:pPr>
        <w:pStyle w:val="ListParagraph"/>
        <w:numPr>
          <w:ilvl w:val="0"/>
          <w:numId w:val="2"/>
        </w:numPr>
        <w:spacing w:after="35"/>
      </w:pPr>
      <w:r>
        <w:rPr>
          <w:rFonts w:ascii="Calibri" w:cs="Calibri" w:eastAsia="Calibri" w:hAnsi="Calibri"/>
          <w:sz w:val="20"/>
          <w:szCs w:val="20"/>
        </w:rPr>
        <w:t xml:space="preserve">Which existing internal applications are in the content mix? Each needs a frame-ancestors change and a read-only display route — work that belongs in their backlogs, not this one.</w:t>
      </w:r>
    </w:p>
    <w:p>
      <w:pPr>
        <w:pStyle w:val="ListParagraph"/>
        <w:numPr>
          <w:ilvl w:val="0"/>
          <w:numId w:val="2"/>
        </w:numPr>
        <w:spacing w:after="35"/>
      </w:pPr>
      <w:r>
        <w:rPr>
          <w:rFonts w:ascii="Calibri" w:cs="Calibri" w:eastAsia="Calibri" w:hAnsi="Calibri"/>
          <w:sz w:val="20"/>
          <w:szCs w:val="20"/>
        </w:rPr>
        <w:t xml:space="preserve">Which vendor pages? This determines snapshot worker credential handling and render cadence.</w:t>
      </w:r>
    </w:p>
    <w:p>
      <w:pPr>
        <w:pStyle w:val="ListParagraph"/>
        <w:numPr>
          <w:ilvl w:val="0"/>
          <w:numId w:val="2"/>
        </w:numPr>
        <w:spacing w:after="35"/>
      </w:pPr>
      <w:r>
        <w:rPr>
          <w:rFonts w:ascii="Calibri" w:cs="Calibri" w:eastAsia="Calibri" w:hAnsi="Calibri"/>
          <w:sz w:val="20"/>
          <w:szCs w:val="20"/>
        </w:rPr>
        <w:t xml:space="preserve">Wired or Wi-Fi, and on which VLAN? Wired is strongly preferred for always-on displays.</w:t>
      </w:r>
    </w:p>
    <w:p>
      <w:pPr>
        <w:pStyle w:val="ListParagraph"/>
        <w:numPr>
          <w:ilvl w:val="0"/>
          <w:numId w:val="2"/>
        </w:numPr>
        <w:spacing w:after="35"/>
      </w:pPr>
      <w:r>
        <w:rPr>
          <w:rFonts w:ascii="Calibri" w:cs="Calibri" w:eastAsia="Calibri" w:hAnsi="Calibri"/>
          <w:sz w:val="20"/>
          <w:szCs w:val="20"/>
        </w:rPr>
        <w:t xml:space="preserve">Who owns the fleet operationally — specifically, who receives the dark-display alert at six in the morning?</w:t>
      </w:r>
    </w:p>
    <w:p>
      <w:pPr>
        <w:pStyle w:val="ListParagraph"/>
        <w:numPr>
          <w:ilvl w:val="0"/>
          <w:numId w:val="2"/>
        </w:numPr>
        <w:spacing w:after="35"/>
      </w:pPr>
      <w:r>
        <w:rPr>
          <w:rFonts w:ascii="Calibri" w:cs="Calibri" w:eastAsia="Calibri" w:hAnsi="Calibri"/>
          <w:sz w:val="20"/>
          <w:szCs w:val="20"/>
        </w:rPr>
        <w:t xml:space="preserve">How many sites, beyond the roughly thirty-display count already confirmed? This drives whether display groups need a site axis and whether one on-prem instance is enough.</w:t>
      </w:r>
    </w:p>
    <w:p>
      <w:pPr>
        <w:spacing w:after="70" w:before="170"/>
      </w:pPr>
      <w:r>
        <w:rPr>
          <w:rFonts w:ascii="Calibri" w:cs="Calibri" w:eastAsia="Calibri" w:hAnsi="Calibri"/>
          <w:b/>
          <w:bCs/>
          <w:color w:val="F4762B"/>
          <w:sz w:val="23"/>
          <w:szCs w:val="23"/>
        </w:rPr>
        <w:t xml:space="preserve">13.0  </w:t>
      </w:r>
      <w:r>
        <w:rPr>
          <w:rFonts w:ascii="Calibri" w:cs="Calibri" w:eastAsia="Calibri" w:hAnsi="Calibri"/>
          <w:b/>
          <w:bCs/>
          <w:color w:val="1C2B39"/>
          <w:sz w:val="23"/>
          <w:szCs w:val="23"/>
        </w:rPr>
        <w:t xml:space="preserve">Sourcing Note</w:t>
      </w:r>
    </w:p>
    <w:p>
      <w:pPr>
        <w:spacing w:after="90"/>
      </w:pPr>
      <w:r>
        <w:rPr>
          <w:rFonts w:ascii="Calibri" w:cs="Calibri" w:eastAsia="Calibri" w:hAnsi="Calibri"/>
          <w:i/>
          <w:iCs/>
          <w:color w:val="5B6467"/>
          <w:sz w:val="20"/>
          <w:szCs w:val="20"/>
        </w:rPr>
        <w:t xml:space="preserve">Amazon's published documentation for the Signage Stick and its Remote Management API, and pricing/availability figures for Raspberry Pi hardware and fleet-management tooling, were summarised from search results rather than read directly in every case, because signage.amazon.com is blocked by the network egress proxy used while preparing this plan. Verify current details before Phase 0, particularly Pi RAM pricing given how volatile it currently is, and the Remote Management API terms if the Signage Stick path is pursued.</w:t>
      </w:r>
    </w:p>
    <w:p>
      <w:pPr>
        <w:spacing w:after="90"/>
      </w:pPr>
      <w:r>
        <w:rPr>
          <w:rFonts w:ascii="Calibri" w:cs="Calibri" w:eastAsia="Calibri" w:hAnsi="Calibri"/>
          <w:i/>
          <w:iCs/>
          <w:color w:val="5B6467"/>
          <w:sz w:val="20"/>
          <w:szCs w:val="20"/>
        </w:rPr>
        <w:t xml:space="preserve">The shared services decisions in section 10.0 were taken from the Seaway services skill summary rather than the live service cards in the seaway-templates repository, which was not reachable at the time of writing. They should be re-checked against reference/services/ before scaffolding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60"/>
      <w:tblInd w:type="dxa" w:w="-780"/>
      <w:tblBorders>
        <w:top w:val="none"/>
        <w:left w:val="none"/>
        <w:bottom w:val="none"/>
        <w:right w:val="none"/>
        <w:insideH w:val="none"/>
        <w:insideV w:val="none"/>
      </w:tblBorders>
    </w:tblPr>
    <w:tblGrid>
      <w:gridCol w:w="3600"/>
      <w:gridCol w:w="6660"/>
    </w:tblGrid>
    <w:tr>
      <w:tc>
        <w:tcPr>
          <w:tcW w:type="dxa" w:w="3600"/>
          <w:tcMar>
            <w:top w:type="dxa" w:w="60"/>
            <w:left w:type="dxa" w:w="100"/>
            <w:bottom w:type="dxa" w:w="60"/>
            <w:right w:type="dxa" w:w="100"/>
          </w:tcMar>
          <w:vAlign w:val="center"/>
        </w:tcPr>
        <w:p>
          <w:r>
            <w:drawing>
              <wp:inline distT="0" distB="0" distL="0" distR="0">
                <wp:extent cx="14287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533400"/>
                        </a:xfrm>
                        <a:prstGeom prst="rect">
                          <a:avLst/>
                        </a:prstGeom>
                      </pic:spPr>
                    </pic:pic>
                  </a:graphicData>
                </a:graphic>
              </wp:inline>
            </w:drawing>
          </w:r>
        </w:p>
      </w:tc>
      <w:tc>
        <w:tcPr>
          <w:tcW w:type="dxa" w:w="6660"/>
          <w:tcMar>
            <w:top w:type="dxa" w:w="0"/>
            <w:left w:type="dxa" w:w="100"/>
            <w:bottom w:type="dxa" w:w="0"/>
            <w:right w:type="dxa" w:w="100"/>
          </w:tcMar>
          <w:vAlign w:val="center"/>
        </w:tcPr>
        <w:p>
          <w:pPr>
            <w:spacing w:after="20"/>
            <w:jc w:val="right"/>
          </w:pPr>
          <w:r>
            <w:rPr>
              <w:rFonts w:ascii="Calibri" w:cs="Calibri" w:eastAsia="Calibri" w:hAnsi="Calibri"/>
              <w:b/>
              <w:bCs/>
              <w:color w:val="1C2B39"/>
              <w:sz w:val="24"/>
              <w:szCs w:val="24"/>
            </w:rPr>
            <w:t xml:space="preserve">Signage Display Fleet — Architecture Plan</w:t>
          </w:r>
        </w:p>
        <w:p>
          <w:pPr>
            <w:spacing w:after="0"/>
            <w:jc w:val="right"/>
          </w:pPr>
          <w:r>
            <w:rPr>
              <w:rFonts w:ascii="Calibri" w:cs="Calibri" w:eastAsia="Calibri" w:hAnsi="Calibri"/>
              <w:color w:val="5B6467"/>
              <w:sz w:val="18"/>
              <w:szCs w:val="18"/>
            </w:rPr>
            <w:t xml:space="preserve">Prepared September 19, 2026 · Kevin Heslin</w:t>
          </w:r>
        </w:p>
      </w:tc>
    </w:tr>
  </w:tbl>
  <w:p>
    <w:pPr>
      <w:pBdr>
        <w:bottom w:val="single" w:color="F4762B" w:sz="16" w:space="1"/>
      </w:pBdr>
      <w:spacing w:after="0" w:before="60"/>
    </w:pPr>
  </w:p>
  <w:p>
    <w:pPr>
      <w:spacing w:after="0" w:before="0" w:line="17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451d5cc40fad5b09f55a1b7cb973d52e41f77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2026-09-19T16:18:53.984Z</dcterms:created>
  <dcterms:modified xsi:type="dcterms:W3CDTF">2026-09-19T16:18:53.984Z</dcterms:modified>
</cp:coreProperties>
</file>

<file path=docProps/custom.xml><?xml version="1.0" encoding="utf-8"?>
<Properties xmlns="http://schemas.openxmlformats.org/officeDocument/2006/custom-properties" xmlns:vt="http://schemas.openxmlformats.org/officeDocument/2006/docPropsVTypes"/>
</file>