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170"/>
      </w:pPr>
      <w:r>
        <w:rPr>
          <w:rFonts w:ascii="Calibri" w:cs="Calibri" w:eastAsia="Calibri" w:hAnsi="Calibri"/>
          <w:b/>
          <w:bCs/>
          <w:color w:val="F4762B"/>
          <w:sz w:val="23"/>
          <w:szCs w:val="23"/>
        </w:rPr>
        <w:t xml:space="preserve">1.0  </w:t>
      </w:r>
      <w:r>
        <w:rPr>
          <w:rFonts w:ascii="Calibri" w:cs="Calibri" w:eastAsia="Calibri" w:hAnsi="Calibri"/>
          <w:b/>
          <w:bCs/>
          <w:color w:val="1C2B39"/>
          <w:sz w:val="23"/>
          <w:szCs w:val="23"/>
        </w:rPr>
        <w:t xml:space="preserve">Purpose &amp; Scope</w:t>
      </w:r>
    </w:p>
    <w:p>
      <w:pPr>
        <w:spacing w:after="90"/>
      </w:pPr>
      <w:r>
        <w:rPr>
          <w:rFonts w:ascii="Calibri" w:cs="Calibri" w:eastAsia="Calibri" w:hAnsi="Calibri"/>
          <w:sz w:val="20"/>
          <w:szCs w:val="20"/>
        </w:rPr>
        <w:t xml:space="preserve">This document plans an internal Seaway application that drives a fleet of Amazon Signage Sticks. Sticks are organised into groups; each group shows its own continuously-updating, on-prem content. It is a design plan only — no implementation work has been done.</w:t>
      </w:r>
    </w:p>
    <w:p>
      <w:pPr>
        <w:spacing w:after="90"/>
      </w:pPr>
      <w:r>
        <w:rPr>
          <w:rFonts w:ascii="Calibri" w:cs="Calibri" w:eastAsia="Calibri" w:hAnsi="Calibri"/>
          <w:sz w:val="20"/>
          <w:szCs w:val="20"/>
        </w:rPr>
        <w:t xml:space="preserve">Content sources are a mix: existing internal Seaway apps, new display-only screens built as part of this project, and third-party vendor pages we do not control.</w:t>
      </w:r>
    </w:p>
    <w:p>
      <w:pPr>
        <w:spacing w:after="70" w:before="170"/>
      </w:pPr>
      <w:r>
        <w:rPr>
          <w:rFonts w:ascii="Calibri" w:cs="Calibri" w:eastAsia="Calibri" w:hAnsi="Calibri"/>
          <w:b/>
          <w:bCs/>
          <w:color w:val="F4762B"/>
          <w:sz w:val="23"/>
          <w:szCs w:val="23"/>
        </w:rPr>
        <w:t xml:space="preserve">2.0  </w:t>
      </w:r>
      <w:r>
        <w:rPr>
          <w:rFonts w:ascii="Calibri" w:cs="Calibri" w:eastAsia="Calibri" w:hAnsi="Calibri"/>
          <w:b/>
          <w:bCs/>
          <w:color w:val="1C2B39"/>
          <w:sz w:val="23"/>
          <w:szCs w:val="23"/>
        </w:rPr>
        <w:t xml:space="preserve">The Constraint That Shapes the Design</w:t>
      </w:r>
    </w:p>
    <w:p>
      <w:pPr>
        <w:spacing w:after="90"/>
      </w:pPr>
      <w:r>
        <w:rPr>
          <w:rFonts w:ascii="Calibri" w:cs="Calibri" w:eastAsia="Calibri" w:hAnsi="Calibri"/>
          <w:sz w:val="20"/>
          <w:szCs w:val="20"/>
        </w:rPr>
        <w:t xml:space="preserve">Two facts about the Amazon Signage Stick drive every decision that follows.</w:t>
      </w:r>
    </w:p>
    <w:p>
      <w:pPr>
        <w:pStyle w:val="ListParagraph"/>
        <w:numPr>
          <w:ilvl w:val="0"/>
          <w:numId w:val="2"/>
        </w:numPr>
        <w:spacing w:after="35"/>
      </w:pPr>
      <w:r>
        <w:rPr>
          <w:rFonts w:ascii="Calibri" w:cs="Calibri" w:eastAsia="Calibri" w:hAnsi="Calibri"/>
          <w:sz w:val="20"/>
          <w:szCs w:val="20"/>
        </w:rPr>
        <w:t xml:space="preserve">The Amazon Signage Remote Management API manages the device, not the content. It exposes power on/off, screen orientation, reboot, cache clear, OS and app update triggers, screenshot and video capture, and telemetry — HDMI status, memory, storage, Wi-Fi, CPU usage and temperature, serial number, MAC and IP. There is no "show this content next" call.</w:t>
      </w:r>
    </w:p>
    <w:p>
      <w:pPr>
        <w:pStyle w:val="ListParagraph"/>
        <w:numPr>
          <w:ilvl w:val="0"/>
          <w:numId w:val="2"/>
        </w:numPr>
        <w:spacing w:after="35"/>
      </w:pPr>
      <w:r>
        <w:rPr>
          <w:rFonts w:ascii="Calibri" w:cs="Calibri" w:eastAsia="Calibri" w:hAnsi="Calibri"/>
          <w:sz w:val="20"/>
          <w:szCs w:val="20"/>
        </w:rPr>
        <w:t xml:space="preserve">We are provisioning through the Amazon Signage console only, with no third-party CMS. A stick is therefore configured once, at enrollment, and we should assume re-provisioning it for every content change is not practical.</w:t>
      </w:r>
    </w:p>
    <w:p>
      <w:pPr>
        <w:spacing w:after="90"/>
      </w:pPr>
      <w:r>
        <w:rPr>
          <w:rFonts w:ascii="Calibri" w:cs="Calibri" w:eastAsia="Calibri" w:hAnsi="Calibri"/>
          <w:sz w:val="20"/>
          <w:szCs w:val="20"/>
        </w:rPr>
        <w:t xml:space="preserve">The conclusion is the central design decision: every stick is provisioned with the same URL, permanently, and all grouping, scheduling and content routing happens inside our application after the page loads.</w:t>
      </w:r>
    </w:p>
    <w:p>
      <w:pPr>
        <w:spacing w:after="90"/>
      </w:pPr>
      <w:r>
        <w:rPr>
          <w:rFonts w:ascii="Calibri" w:cs="Calibri" w:eastAsia="Calibri" w:hAnsi="Calibri"/>
          <w:sz w:val="20"/>
          <w:szCs w:val="20"/>
        </w:rPr>
        <w:t xml:space="preserve">The stick becomes a permanently-kiosked browser pointed at a single address. Changing what a television shows never touches the Amazon console again.</w:t>
      </w:r>
    </w:p>
    <w:p>
      <w:pPr>
        <w:spacing w:after="70" w:before="170"/>
      </w:pPr>
      <w:r>
        <w:rPr>
          <w:rFonts w:ascii="Calibri" w:cs="Calibri" w:eastAsia="Calibri" w:hAnsi="Calibri"/>
          <w:b/>
          <w:bCs/>
          <w:color w:val="F4762B"/>
          <w:sz w:val="23"/>
          <w:szCs w:val="23"/>
        </w:rPr>
        <w:t xml:space="preserve">3.0  </w:t>
      </w:r>
      <w:r>
        <w:rPr>
          <w:rFonts w:ascii="Calibri" w:cs="Calibri" w:eastAsia="Calibri" w:hAnsi="Calibri"/>
          <w:b/>
          <w:bCs/>
          <w:color w:val="1C2B39"/>
          <w:sz w:val="23"/>
          <w:szCs w:val="23"/>
        </w:rPr>
        <w:t xml:space="preserve">Architecture</w:t>
      </w:r>
    </w:p>
    <w:p>
      <w:pPr>
        <w:spacing w:after="50" w:before="110"/>
      </w:pPr>
      <w:r>
        <w:rPr>
          <w:rFonts w:ascii="Calibri" w:cs="Calibri" w:eastAsia="Calibri" w:hAnsi="Calibri"/>
          <w:b/>
          <w:bCs/>
          <w:color w:val="F4762B"/>
          <w:sz w:val="20"/>
          <w:szCs w:val="20"/>
        </w:rPr>
        <w:t xml:space="preserve">3.1  </w:t>
      </w:r>
      <w:r>
        <w:rPr>
          <w:rFonts w:ascii="Calibri" w:cs="Calibri" w:eastAsia="Calibri" w:hAnsi="Calibri"/>
          <w:b/>
          <w:bCs/>
          <w:color w:val="1C2B39"/>
          <w:sz w:val="20"/>
          <w:szCs w:val="20"/>
        </w:rPr>
        <w:t xml:space="preserve">Two independent planes</w:t>
      </w:r>
    </w:p>
    <w:p>
      <w:pPr>
        <w:spacing w:after="90"/>
      </w:pPr>
      <w:r>
        <w:rPr>
          <w:rFonts w:ascii="Calibri" w:cs="Calibri" w:eastAsia="Calibri" w:hAnsi="Calibri"/>
          <w:sz w:val="20"/>
          <w:szCs w:val="20"/>
        </w:rPr>
        <w:t xml:space="preserve">The system is split into a content plane and a device plane. They are deliberately decoupled, and the content plane must work with the device plane completely absent. That separation is what makes the API eligibility risk in section 7.1 survivable rather than fatal.</w:t>
      </w:r>
    </w:p>
    <w:p>
      <w:pPr>
        <w:spacing w:after="35" w:before="60"/>
      </w:pPr>
      <w:r>
        <w:rPr>
          <w:rFonts w:ascii="Calibri" w:cs="Calibri" w:eastAsia="Calibri" w:hAnsi="Calibri"/>
          <w:b/>
          <w:bCs/>
          <w:i/>
          <w:iCs/>
          <w:sz w:val="20"/>
          <w:szCs w:val="20"/>
        </w:rPr>
        <w:t xml:space="preserve">Table 1 — The two planes, their transports and their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cantSplit/>
          <w:tblHeader/>
        </w:trPr>
        <w:tc>
          <w:tcPr>
            <w:tcW w:type="dxa" w:w="1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Plane</w:t>
            </w:r>
          </w:p>
        </w:tc>
        <w:tc>
          <w:tcPr>
            <w:tcW w:type="dxa" w:w="2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Transport</w:t>
            </w:r>
          </w:p>
        </w:tc>
        <w:tc>
          <w:tcPr>
            <w:tcW w:type="dxa" w:w="47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Purpose</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HTTPS and SSE, on-prem, LAN only</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What appears on screen; group routing; near-real-time updates</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Device</w:t>
            </w:r>
          </w:p>
        </w:tc>
        <w:tc>
          <w:tcPr>
            <w:tcW w:type="dxa" w:w="2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Amazon Remote Management API, cloud</w:t>
            </w:r>
          </w:p>
        </w:tc>
        <w:tc>
          <w:tcPr>
            <w:tcW w:type="dxa" w:w="47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Physical control and hardware telemetry</w:t>
            </w:r>
          </w:p>
        </w:tc>
      </w:tr>
    </w:tbl>
    <w:p>
      <w:pPr>
        <w:spacing w:after="50" w:before="110"/>
      </w:pPr>
      <w:r>
        <w:rPr>
          <w:rFonts w:ascii="Calibri" w:cs="Calibri" w:eastAsia="Calibri" w:hAnsi="Calibri"/>
          <w:b/>
          <w:bCs/>
          <w:color w:val="F4762B"/>
          <w:sz w:val="20"/>
          <w:szCs w:val="20"/>
        </w:rPr>
        <w:t xml:space="preserve">3.2  </w:t>
      </w:r>
      <w:r>
        <w:rPr>
          <w:rFonts w:ascii="Calibri" w:cs="Calibri" w:eastAsia="Calibri" w:hAnsi="Calibri"/>
          <w:b/>
          <w:bCs/>
          <w:color w:val="1C2B39"/>
          <w:sz w:val="20"/>
          <w:szCs w:val="20"/>
        </w:rPr>
        <w:t xml:space="preserve">The player shell</w:t>
      </w:r>
    </w:p>
    <w:p>
      <w:pPr>
        <w:spacing w:after="90"/>
      </w:pPr>
      <w:r>
        <w:rPr>
          <w:rFonts w:ascii="Calibri" w:cs="Calibri" w:eastAsia="Calibri" w:hAnsi="Calibri"/>
          <w:sz w:val="20"/>
          <w:szCs w:val="20"/>
        </w:rPr>
        <w:t xml:space="preserve">A single small page, identical for every stick, is responsible for:</w:t>
      </w:r>
    </w:p>
    <w:p>
      <w:pPr>
        <w:pStyle w:val="ListParagraph"/>
        <w:numPr>
          <w:ilvl w:val="0"/>
          <w:numId w:val="2"/>
        </w:numPr>
        <w:spacing w:after="35"/>
      </w:pPr>
      <w:r>
        <w:rPr>
          <w:rFonts w:ascii="Calibri" w:cs="Calibri" w:eastAsia="Calibri" w:hAnsi="Calibri"/>
          <w:sz w:val="20"/>
          <w:szCs w:val="20"/>
        </w:rPr>
        <w:t xml:space="preserve">Identifying itself (section 4.0), then opening an SSE connection for control messages.</w:t>
      </w:r>
    </w:p>
    <w:p>
      <w:pPr>
        <w:pStyle w:val="ListParagraph"/>
        <w:numPr>
          <w:ilvl w:val="0"/>
          <w:numId w:val="2"/>
        </w:numPr>
        <w:spacing w:after="35"/>
      </w:pPr>
      <w:r>
        <w:rPr>
          <w:rFonts w:ascii="Calibri" w:cs="Calibri" w:eastAsia="Calibri" w:hAnsi="Calibri"/>
          <w:sz w:val="20"/>
          <w:szCs w:val="20"/>
        </w:rPr>
        <w:t xml:space="preserve">Rendering the current playlist as a stack of panes. A pane is an iframe of an arbitrary URL, a screen rendered natively by the display-only app, a snapshot image for pages that refuse framing, or a static asset from Seaway.Storage.</w:t>
      </w:r>
    </w:p>
    <w:p>
      <w:pPr>
        <w:pStyle w:val="ListParagraph"/>
        <w:numPr>
          <w:ilvl w:val="0"/>
          <w:numId w:val="2"/>
        </w:numPr>
        <w:spacing w:after="35"/>
      </w:pPr>
      <w:r>
        <w:rPr>
          <w:rFonts w:ascii="Calibri" w:cs="Calibri" w:eastAsia="Calibri" w:hAnsi="Calibri"/>
          <w:sz w:val="20"/>
          <w:szCs w:val="20"/>
        </w:rPr>
        <w:t xml:space="preserve">Caching the last known-good playlist locally and continuing to render it when the server is unreachable. A dead server must never blank the screens. After a staleness window, the page shows a small, unobtrusive stale-data indicator.</w:t>
      </w:r>
    </w:p>
    <w:p>
      <w:pPr>
        <w:pStyle w:val="ListParagraph"/>
        <w:numPr>
          <w:ilvl w:val="0"/>
          <w:numId w:val="2"/>
        </w:numPr>
        <w:spacing w:after="35"/>
      </w:pPr>
      <w:r>
        <w:rPr>
          <w:rFonts w:ascii="Calibri" w:cs="Calibri" w:eastAsia="Calibri" w:hAnsi="Calibri"/>
          <w:sz w:val="20"/>
          <w:szCs w:val="20"/>
        </w:rPr>
        <w:t xml:space="preserve">Emitting a heartbeat every fifteen seconds.</w:t>
      </w:r>
    </w:p>
    <w:p>
      <w:pPr>
        <w:spacing w:after="50" w:before="110"/>
      </w:pPr>
      <w:r>
        <w:rPr>
          <w:rFonts w:ascii="Calibri" w:cs="Calibri" w:eastAsia="Calibri" w:hAnsi="Calibri"/>
          <w:b/>
          <w:bCs/>
          <w:color w:val="F4762B"/>
          <w:sz w:val="20"/>
          <w:szCs w:val="20"/>
        </w:rPr>
        <w:t xml:space="preserve">3.3  </w:t>
      </w:r>
      <w:r>
        <w:rPr>
          <w:rFonts w:ascii="Calibri" w:cs="Calibri" w:eastAsia="Calibri" w:hAnsi="Calibri"/>
          <w:b/>
          <w:bCs/>
          <w:color w:val="1C2B39"/>
          <w:sz w:val="20"/>
          <w:szCs w:val="20"/>
        </w:rPr>
        <w:t xml:space="preserve">Near-real-time updates</w:t>
      </w:r>
    </w:p>
    <w:p>
      <w:pPr>
        <w:spacing w:after="90"/>
      </w:pPr>
      <w:r>
        <w:rPr>
          <w:rFonts w:ascii="Calibri" w:cs="Calibri" w:eastAsia="Calibri" w:hAnsi="Calibri"/>
          <w:sz w:val="20"/>
          <w:szCs w:val="20"/>
        </w:rPr>
        <w:t xml:space="preserve">Server-Sent Events, not WebSockets. SSE is one-directional, server to display, which is exactly the shape of this problem. It reconnects automatically, survives reverse proxies, and needs no keepalive protocol of our own. Heartbeats travel separately as a lightweight POST, keeping the SSE stream purely server-to-client.</w:t>
      </w:r>
    </w:p>
    <w:p>
      <w:pPr>
        <w:spacing w:after="35" w:before="60"/>
      </w:pPr>
      <w:r>
        <w:rPr>
          <w:rFonts w:ascii="Calibri" w:cs="Calibri" w:eastAsia="Calibri" w:hAnsi="Calibri"/>
          <w:b/>
          <w:bCs/>
          <w:i/>
          <w:iCs/>
          <w:sz w:val="20"/>
          <w:szCs w:val="20"/>
        </w:rPr>
        <w:t xml:space="preserve">Table 2 — Control messages carried over the SSE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Message</w:t>
            </w:r>
          </w:p>
        </w:tc>
        <w:tc>
          <w:tcPr>
            <w:tcW w:type="dxa" w:w="75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Effect</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assign</w:t>
            </w:r>
          </w:p>
        </w:tc>
        <w:tc>
          <w:tcPr>
            <w:tcW w:type="dxa" w:w="75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New playlist version. The player diffs and swaps panes without a full reload.</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reload</w:t>
            </w:r>
          </w:p>
        </w:tc>
        <w:tc>
          <w:tcPr>
            <w:tcW w:type="dxa" w:w="75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Hard page reload. Use sparingly — it is visible on screen.</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identify</w:t>
            </w:r>
          </w:p>
        </w:tc>
        <w:tc>
          <w:tcPr>
            <w:tcW w:type="dxa" w:w="75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Flash the display's name full-screen for about ten seconds. This is how you physically work out which television is "Bindery 2".</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clear-cache</w:t>
            </w:r>
          </w:p>
        </w:tc>
        <w:tc>
          <w:tcPr>
            <w:tcW w:type="dxa" w:w="75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Drop local storage and re-fetch.</w:t>
            </w:r>
          </w:p>
        </w:tc>
      </w:tr>
      <w:tr>
        <w:trPr>
          <w:cantSplit/>
          <w:tblHeader w:val="false"/>
        </w:trPr>
        <w:tc>
          <w:tcPr>
            <w:tcW w:type="dxa" w:w="18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ping</w:t>
            </w:r>
          </w:p>
        </w:tc>
        <w:tc>
          <w:tcPr>
            <w:tcW w:type="dxa" w:w="75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Liveness probe with a correlation identifier.</w:t>
            </w:r>
          </w:p>
        </w:tc>
      </w:tr>
    </w:tbl>
    <w:p>
      <w:pPr>
        <w:spacing w:after="90" w:before="160"/>
      </w:pPr>
      <w:r>
        <w:rPr>
          <w:rFonts w:ascii="Calibri" w:cs="Calibri" w:eastAsia="Calibri" w:hAnsi="Calibri"/>
          <w:sz w:val="20"/>
          <w:szCs w:val="20"/>
        </w:rPr>
        <w:t xml:space="preserve">Freshness within a pane is a separate concern. A native pane subscribes to its own data feed; an iframe pane is the responsibility of the application inside it. The control plane governs which content is shown, not the data inside it.</w:t>
      </w:r>
    </w:p>
    <w:p>
      <w:pPr>
        <w:spacing w:after="70" w:before="170"/>
      </w:pPr>
      <w:r>
        <w:rPr>
          <w:rFonts w:ascii="Calibri" w:cs="Calibri" w:eastAsia="Calibri" w:hAnsi="Calibri"/>
          <w:b/>
          <w:bCs/>
          <w:color w:val="F4762B"/>
          <w:sz w:val="23"/>
          <w:szCs w:val="23"/>
        </w:rPr>
        <w:t xml:space="preserve">4.0  </w:t>
      </w:r>
      <w:r>
        <w:rPr>
          <w:rFonts w:ascii="Calibri" w:cs="Calibri" w:eastAsia="Calibri" w:hAnsi="Calibri"/>
          <w:b/>
          <w:bCs/>
          <w:color w:val="1C2B39"/>
          <w:sz w:val="23"/>
          <w:szCs w:val="23"/>
        </w:rPr>
        <w:t xml:space="preserve">Display Pairing</w:t>
      </w:r>
    </w:p>
    <w:p>
      <w:pPr>
        <w:spacing w:after="90"/>
      </w:pPr>
      <w:r>
        <w:rPr>
          <w:rFonts w:ascii="Calibri" w:cs="Calibri" w:eastAsia="Calibri" w:hAnsi="Calibri"/>
          <w:sz w:val="20"/>
          <w:szCs w:val="20"/>
        </w:rPr>
        <w:t xml:space="preserve">There is no keyboard and no mouse, and every stick loads an identical URL. Displays therefore identify themselves through a pairing flow:</w:t>
      </w:r>
    </w:p>
    <w:p>
      <w:pPr>
        <w:pStyle w:val="ListParagraph"/>
        <w:numPr>
          <w:ilvl w:val="0"/>
          <w:numId w:val="2"/>
        </w:numPr>
        <w:spacing w:after="35"/>
      </w:pPr>
      <w:r>
        <w:rPr>
          <w:rFonts w:ascii="Calibri" w:cs="Calibri" w:eastAsia="Calibri" w:hAnsi="Calibri"/>
          <w:sz w:val="20"/>
          <w:szCs w:val="20"/>
        </w:rPr>
        <w:t xml:space="preserve">The stick boots and the kiosk app loads the player URL.</w:t>
      </w:r>
    </w:p>
    <w:p>
      <w:pPr>
        <w:pStyle w:val="ListParagraph"/>
        <w:numPr>
          <w:ilvl w:val="0"/>
          <w:numId w:val="2"/>
        </w:numPr>
        <w:spacing w:after="35"/>
      </w:pPr>
      <w:r>
        <w:rPr>
          <w:rFonts w:ascii="Calibri" w:cs="Calibri" w:eastAsia="Calibri" w:hAnsi="Calibri"/>
          <w:sz w:val="20"/>
          <w:szCs w:val="20"/>
        </w:rPr>
        <w:t xml:space="preserve">The player finds no device token stored locally and registers itself with the server.</w:t>
      </w:r>
    </w:p>
    <w:p>
      <w:pPr>
        <w:pStyle w:val="ListParagraph"/>
        <w:numPr>
          <w:ilvl w:val="0"/>
          <w:numId w:val="2"/>
        </w:numPr>
        <w:spacing w:after="35"/>
      </w:pPr>
      <w:r>
        <w:rPr>
          <w:rFonts w:ascii="Calibri" w:cs="Calibri" w:eastAsia="Calibri" w:hAnsi="Calibri"/>
          <w:sz w:val="20"/>
          <w:szCs w:val="20"/>
        </w:rPr>
        <w:t xml:space="preserve">The server creates the display in an unclaimed state and returns a short, human-readable pairing code.</w:t>
      </w:r>
    </w:p>
    <w:p>
      <w:pPr>
        <w:pStyle w:val="ListParagraph"/>
        <w:numPr>
          <w:ilvl w:val="0"/>
          <w:numId w:val="2"/>
        </w:numPr>
        <w:spacing w:after="35"/>
      </w:pPr>
      <w:r>
        <w:rPr>
          <w:rFonts w:ascii="Calibri" w:cs="Calibri" w:eastAsia="Calibri" w:hAnsi="Calibri"/>
          <w:sz w:val="20"/>
          <w:szCs w:val="20"/>
        </w:rPr>
        <w:t xml:space="preserve">The television shows that code full-screen — for example, "Unclaimed display — code K7F2".</w:t>
      </w:r>
    </w:p>
    <w:p>
      <w:pPr>
        <w:pStyle w:val="ListParagraph"/>
        <w:numPr>
          <w:ilvl w:val="0"/>
          <w:numId w:val="2"/>
        </w:numPr>
        <w:spacing w:after="35"/>
      </w:pPr>
      <w:r>
        <w:rPr>
          <w:rFonts w:ascii="Calibri" w:cs="Calibri" w:eastAsia="Calibri" w:hAnsi="Calibri"/>
          <w:sz w:val="20"/>
          <w:szCs w:val="20"/>
        </w:rPr>
        <w:t xml:space="preserve">An administrator sees the pending display in the admin UI, matches the code against the screen in front of them, names it, sets its location and assigns it to a group.</w:t>
      </w:r>
    </w:p>
    <w:p>
      <w:pPr>
        <w:pStyle w:val="ListParagraph"/>
        <w:numPr>
          <w:ilvl w:val="0"/>
          <w:numId w:val="2"/>
        </w:numPr>
        <w:spacing w:after="35"/>
      </w:pPr>
      <w:r>
        <w:rPr>
          <w:rFonts w:ascii="Calibri" w:cs="Calibri" w:eastAsia="Calibri" w:hAnsi="Calibri"/>
          <w:sz w:val="20"/>
          <w:szCs w:val="20"/>
        </w:rPr>
        <w:t xml:space="preserve">The server pushes an assign message, the player stores its device token, and playback begins.</w:t>
      </w:r>
    </w:p>
    <w:p>
      <w:pPr>
        <w:spacing w:after="90"/>
      </w:pPr>
      <w:r>
        <w:rPr>
          <w:rFonts w:ascii="Calibri" w:cs="Calibri" w:eastAsia="Calibri" w:hAnsi="Calibri"/>
          <w:sz w:val="20"/>
          <w:szCs w:val="20"/>
        </w:rPr>
        <w:t xml:space="preserve">This is the standard signage pairing pattern and it requires no text entry on the device.</w:t>
      </w:r>
    </w:p>
    <w:p>
      <w:pPr>
        <w:spacing w:after="50" w:before="110"/>
      </w:pPr>
      <w:r>
        <w:rPr>
          <w:rFonts w:ascii="Calibri" w:cs="Calibri" w:eastAsia="Calibri" w:hAnsi="Calibri"/>
          <w:b/>
          <w:bCs/>
          <w:color w:val="F4762B"/>
          <w:sz w:val="20"/>
          <w:szCs w:val="20"/>
        </w:rPr>
        <w:t xml:space="preserve">4.1  </w:t>
      </w:r>
      <w:r>
        <w:rPr>
          <w:rFonts w:ascii="Calibri" w:cs="Calibri" w:eastAsia="Calibri" w:hAnsi="Calibri"/>
          <w:b/>
          <w:bCs/>
          <w:color w:val="1C2B39"/>
          <w:sz w:val="20"/>
          <w:szCs w:val="20"/>
        </w:rPr>
        <w:t xml:space="preserve">The failure mode to design for</w:t>
      </w:r>
    </w:p>
    <w:p>
      <w:pPr>
        <w:spacing w:after="90"/>
      </w:pPr>
      <w:r>
        <w:rPr>
          <w:rFonts w:ascii="Calibri" w:cs="Calibri" w:eastAsia="Calibri" w:hAnsi="Calibri"/>
          <w:sz w:val="20"/>
          <w:szCs w:val="20"/>
        </w:rPr>
        <w:t xml:space="preserve">Anything that clears the kiosk application's storage — including the Remote Management API's own cache-clear command — wipes the device token and returns the stick to an unclaimed state. Mitigations, in order of value:</w:t>
      </w:r>
    </w:p>
    <w:p>
      <w:pPr>
        <w:pStyle w:val="ListParagraph"/>
        <w:numPr>
          <w:ilvl w:val="0"/>
          <w:numId w:val="2"/>
        </w:numPr>
        <w:spacing w:after="35"/>
      </w:pPr>
      <w:r>
        <w:rPr>
          <w:rFonts w:ascii="Calibri" w:cs="Calibri" w:eastAsia="Calibri" w:hAnsi="Calibri"/>
          <w:sz w:val="20"/>
          <w:szCs w:val="20"/>
        </w:rPr>
        <w:t xml:space="preserve">Reserve DHCP addresses so every stick has a stable IP. On re-enrollment the server matches the client address against the previous owner and offers a one-click re-claim rather than a fresh setup.</w:t>
      </w:r>
    </w:p>
    <w:p>
      <w:pPr>
        <w:pStyle w:val="ListParagraph"/>
        <w:numPr>
          <w:ilvl w:val="0"/>
          <w:numId w:val="2"/>
        </w:numPr>
        <w:spacing w:after="35"/>
      </w:pPr>
      <w:r>
        <w:rPr>
          <w:rFonts w:ascii="Calibri" w:cs="Calibri" w:eastAsia="Calibri" w:hAnsi="Calibri"/>
          <w:sz w:val="20"/>
          <w:szCs w:val="20"/>
        </w:rPr>
        <w:t xml:space="preserve">Never issue cache-clear as a routine remedy.</w:t>
      </w:r>
    </w:p>
    <w:p>
      <w:pPr>
        <w:pStyle w:val="ListParagraph"/>
        <w:numPr>
          <w:ilvl w:val="0"/>
          <w:numId w:val="2"/>
        </w:numPr>
        <w:spacing w:after="35"/>
      </w:pPr>
      <w:r>
        <w:rPr>
          <w:rFonts w:ascii="Calibri" w:cs="Calibri" w:eastAsia="Calibri" w:hAnsi="Calibri"/>
          <w:sz w:val="20"/>
          <w:szCs w:val="20"/>
        </w:rPr>
        <w:t xml:space="preserve">Accept that re-pairing is a twenty-second administrative task, not an outage — the stick keeps showing its cached playlist until told otherwise.</w:t>
      </w:r>
    </w:p>
    <w:p>
      <w:pPr>
        <w:pageBreakBefore/>
        <w:spacing w:after="70" w:before="0"/>
      </w:pPr>
      <w:r>
        <w:rPr>
          <w:rFonts w:ascii="Calibri" w:cs="Calibri" w:eastAsia="Calibri" w:hAnsi="Calibri"/>
          <w:b/>
          <w:bCs/>
          <w:color w:val="F4762B"/>
          <w:sz w:val="23"/>
          <w:szCs w:val="23"/>
        </w:rPr>
        <w:t xml:space="preserve">5.0  </w:t>
      </w:r>
      <w:r>
        <w:rPr>
          <w:rFonts w:ascii="Calibri" w:cs="Calibri" w:eastAsia="Calibri" w:hAnsi="Calibri"/>
          <w:b/>
          <w:bCs/>
          <w:color w:val="1C2B39"/>
          <w:sz w:val="23"/>
          <w:szCs w:val="23"/>
        </w:rPr>
        <w:t xml:space="preserve">Data Model</w:t>
      </w:r>
    </w:p>
    <w:p>
      <w:pPr>
        <w:spacing w:after="35" w:before="60"/>
      </w:pPr>
      <w:r>
        <w:rPr>
          <w:rFonts w:ascii="Calibri" w:cs="Calibri" w:eastAsia="Calibri" w:hAnsi="Calibri"/>
          <w:b/>
          <w:bCs/>
          <w:i/>
          <w:iCs/>
          <w:sz w:val="20"/>
          <w:szCs w:val="20"/>
        </w:rPr>
        <w:t xml:space="preserve">Table 3 — First-cut entities and their significant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Entity</w:t>
            </w:r>
          </w:p>
        </w:tc>
        <w:tc>
          <w:tcPr>
            <w:tcW w:type="dxa" w:w="73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Key fields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Location, GroupId, DeviceTokenHash, Status, LastSeenUtc, PairingCode, ClaimedAtUtc, IpAddress, SerialNumber, MacAddress, Orientation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DisplayGroup</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Description, SiteId</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Content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Kind (Iframe / Native / Snapshot / Asset), Url, NativeViewKey, AssetId, FramingMode, RefreshHintSeconds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Id, Name, Version</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PlaylistItem</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PlaylistId, ContentId, Order, DurationSeconds</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Schedule / ScheduleRule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GroupId, PlaylistId, DayMask, StartTime, EndTime, Priority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Override</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Target (GroupId or DisplayId), ContentId, ExpiresAtUtc, CreatedBy</w:t>
            </w:r>
          </w:p>
        </w:tc>
      </w:tr>
      <w:tr>
        <w:trPr>
          <w:cantSplit/>
          <w:tblHeader w:val="false"/>
        </w:trPr>
        <w:tc>
          <w:tcPr>
            <w:tcW w:type="dxa" w:w="2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DisplayEvent</w:t>
            </w:r>
          </w:p>
        </w:tc>
        <w:tc>
          <w:tcPr>
            <w:tcW w:type="dxa" w:w="7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DisplayId, Kind, PayloadJson, OccurredAtUtc — heartbeats, errors, command results</w:t>
            </w:r>
          </w:p>
        </w:tc>
      </w:tr>
    </w:tbl>
    <w:p>
      <w:pPr>
        <w:spacing w:after="50" w:before="110"/>
      </w:pPr>
      <w:r>
        <w:rPr>
          <w:rFonts w:ascii="Calibri" w:cs="Calibri" w:eastAsia="Calibri" w:hAnsi="Calibri"/>
          <w:b/>
          <w:bCs/>
          <w:color w:val="F4762B"/>
          <w:sz w:val="20"/>
          <w:szCs w:val="20"/>
        </w:rPr>
        <w:t xml:space="preserve">5.1  </w:t>
      </w:r>
      <w:r>
        <w:rPr>
          <w:rFonts w:ascii="Calibri" w:cs="Calibri" w:eastAsia="Calibri" w:hAnsi="Calibri"/>
          <w:b/>
          <w:bCs/>
          <w:color w:val="1C2B39"/>
          <w:sz w:val="20"/>
          <w:szCs w:val="20"/>
        </w:rPr>
        <w:t xml:space="preserve">Deliberate simplifications</w:t>
      </w:r>
    </w:p>
    <w:p>
      <w:pPr>
        <w:spacing w:after="90"/>
      </w:pPr>
      <w:r>
        <w:rPr>
          <w:rFonts w:ascii="Calibri" w:cs="Calibri" w:eastAsia="Calibri" w:hAnsi="Calibri"/>
          <w:sz w:val="20"/>
          <w:szCs w:val="20"/>
        </w:rPr>
        <w:t xml:space="preserve">These are recorded so they are not quietly re-litigated later.</w:t>
      </w:r>
    </w:p>
    <w:p>
      <w:pPr>
        <w:pStyle w:val="ListParagraph"/>
        <w:numPr>
          <w:ilvl w:val="0"/>
          <w:numId w:val="2"/>
        </w:numPr>
        <w:spacing w:after="35"/>
      </w:pPr>
      <w:r>
        <w:rPr>
          <w:rFonts w:ascii="Calibri" w:cs="Calibri" w:eastAsia="Calibri" w:hAnsi="Calibri"/>
          <w:sz w:val="20"/>
          <w:szCs w:val="20"/>
        </w:rPr>
        <w:t xml:space="preserve">A display belongs to exactly one group. Many-to-many membership makes "what is this television showing right now?" unanswerable without a precedence algebra nobody wants to debug at six in the morning. The per-display override covers the genuine exception case.</w:t>
      </w:r>
    </w:p>
    <w:p>
      <w:pPr>
        <w:pStyle w:val="ListParagraph"/>
        <w:numPr>
          <w:ilvl w:val="0"/>
          <w:numId w:val="2"/>
        </w:numPr>
        <w:spacing w:after="35"/>
      </w:pPr>
      <w:r>
        <w:rPr>
          <w:rFonts w:ascii="Calibri" w:cs="Calibri" w:eastAsia="Calibri" w:hAnsi="Calibri"/>
          <w:sz w:val="20"/>
          <w:szCs w:val="20"/>
        </w:rPr>
        <w:t xml:space="preserve">Schedules are group-level only. Per-display scheduling is out of scope.</w:t>
      </w:r>
    </w:p>
    <w:p>
      <w:pPr>
        <w:pStyle w:val="ListParagraph"/>
        <w:numPr>
          <w:ilvl w:val="0"/>
          <w:numId w:val="2"/>
        </w:numPr>
        <w:spacing w:after="35"/>
      </w:pPr>
      <w:r>
        <w:rPr>
          <w:rFonts w:ascii="Calibri" w:cs="Calibri" w:eastAsia="Calibri" w:hAnsi="Calibri"/>
          <w:sz w:val="20"/>
          <w:szCs w:val="20"/>
        </w:rPr>
        <w:t xml:space="preserve">Override exists specifically for "put the safety notice on every floor television, now" — a single action with an expiry, not a playlist edit.</w:t>
      </w:r>
    </w:p>
    <w:p>
      <w:pPr>
        <w:spacing w:after="70" w:before="170"/>
      </w:pPr>
      <w:r>
        <w:rPr>
          <w:rFonts w:ascii="Calibri" w:cs="Calibri" w:eastAsia="Calibri" w:hAnsi="Calibri"/>
          <w:b/>
          <w:bCs/>
          <w:color w:val="F4762B"/>
          <w:sz w:val="23"/>
          <w:szCs w:val="23"/>
        </w:rPr>
        <w:t xml:space="preserve">6.0  </w:t>
      </w:r>
      <w:r>
        <w:rPr>
          <w:rFonts w:ascii="Calibri" w:cs="Calibri" w:eastAsia="Calibri" w:hAnsi="Calibri"/>
          <w:b/>
          <w:bCs/>
          <w:color w:val="1C2B39"/>
          <w:sz w:val="23"/>
          <w:szCs w:val="23"/>
        </w:rPr>
        <w:t xml:space="preserve">Authentication</w:t>
      </w:r>
    </w:p>
    <w:p>
      <w:pPr>
        <w:spacing w:after="90"/>
      </w:pPr>
      <w:r>
        <w:rPr>
          <w:rFonts w:ascii="Calibri" w:cs="Calibri" w:eastAsia="Calibri" w:hAnsi="Calibri"/>
          <w:sz w:val="20"/>
          <w:szCs w:val="20"/>
        </w:rPr>
        <w:t xml:space="preserve">There are two separate identity planes and they should not be conflated.</w:t>
      </w:r>
    </w:p>
    <w:p>
      <w:pPr>
        <w:spacing w:after="50" w:before="110"/>
      </w:pPr>
      <w:r>
        <w:rPr>
          <w:rFonts w:ascii="Calibri" w:cs="Calibri" w:eastAsia="Calibri" w:hAnsi="Calibri"/>
          <w:b/>
          <w:bCs/>
          <w:color w:val="F4762B"/>
          <w:sz w:val="20"/>
          <w:szCs w:val="20"/>
        </w:rPr>
        <w:t xml:space="preserve">6.1  </w:t>
      </w:r>
      <w:r>
        <w:rPr>
          <w:rFonts w:ascii="Calibri" w:cs="Calibri" w:eastAsia="Calibri" w:hAnsi="Calibri"/>
          <w:b/>
          <w:bCs/>
          <w:color w:val="1C2B39"/>
          <w:sz w:val="20"/>
          <w:szCs w:val="20"/>
        </w:rPr>
        <w:t xml:space="preserve">Displays — device tokens</w:t>
      </w:r>
    </w:p>
    <w:p>
      <w:pPr>
        <w:pStyle w:val="ListParagraph"/>
        <w:numPr>
          <w:ilvl w:val="0"/>
          <w:numId w:val="2"/>
        </w:numPr>
        <w:spacing w:after="35"/>
      </w:pPr>
      <w:r>
        <w:rPr>
          <w:rFonts w:ascii="Calibri" w:cs="Calibri" w:eastAsia="Calibri" w:hAnsi="Calibri"/>
          <w:sz w:val="20"/>
          <w:szCs w:val="20"/>
        </w:rPr>
        <w:t xml:space="preserve">Enrollment issues an opaque 256-bit random token, stored hashed at rest, one per display.</w:t>
      </w:r>
    </w:p>
    <w:p>
      <w:pPr>
        <w:pStyle w:val="ListParagraph"/>
        <w:numPr>
          <w:ilvl w:val="0"/>
          <w:numId w:val="2"/>
        </w:numPr>
        <w:spacing w:after="35"/>
      </w:pPr>
      <w:r>
        <w:rPr>
          <w:rFonts w:ascii="Calibri" w:cs="Calibri" w:eastAsia="Calibri" w:hAnsi="Calibri"/>
          <w:sz w:val="20"/>
          <w:szCs w:val="20"/>
        </w:rPr>
        <w:t xml:space="preserve">It is presented as a bearer token on every device API call and on SSE connection.</w:t>
      </w:r>
    </w:p>
    <w:p>
      <w:pPr>
        <w:pStyle w:val="ListParagraph"/>
        <w:numPr>
          <w:ilvl w:val="0"/>
          <w:numId w:val="2"/>
        </w:numPr>
        <w:spacing w:after="35"/>
      </w:pPr>
      <w:r>
        <w:rPr>
          <w:rFonts w:ascii="Calibri" w:cs="Calibri" w:eastAsia="Calibri" w:hAnsi="Calibri"/>
          <w:sz w:val="20"/>
          <w:szCs w:val="20"/>
        </w:rPr>
        <w:t xml:space="preserve">It is individually revocable — a stolen or decommissioned stick is one click — and rotatable on a schedule without re-pairing.</w:t>
      </w:r>
    </w:p>
    <w:p>
      <w:pPr>
        <w:pStyle w:val="ListParagraph"/>
        <w:numPr>
          <w:ilvl w:val="0"/>
          <w:numId w:val="2"/>
        </w:numPr>
        <w:spacing w:after="35"/>
      </w:pPr>
      <w:r>
        <w:rPr>
          <w:rFonts w:ascii="Calibri" w:cs="Calibri" w:eastAsia="Calibri" w:hAnsi="Calibri"/>
          <w:sz w:val="20"/>
          <w:szCs w:val="20"/>
        </w:rPr>
        <w:t xml:space="preserve">Device tokens are not Seaway.AppSecurity users. They carry no roles and reach only the device API surface: read playlist, post heartbeat, post error. That containment is the reason for not using kiosk service accounts.</w:t>
      </w:r>
    </w:p>
    <w:p>
      <w:pPr>
        <w:spacing w:after="50" w:before="110"/>
      </w:pPr>
      <w:r>
        <w:rPr>
          <w:rFonts w:ascii="Calibri" w:cs="Calibri" w:eastAsia="Calibri" w:hAnsi="Calibri"/>
          <w:b/>
          <w:bCs/>
          <w:color w:val="F4762B"/>
          <w:sz w:val="20"/>
          <w:szCs w:val="20"/>
        </w:rPr>
        <w:t xml:space="preserve">6.2  </w:t>
      </w:r>
      <w:r>
        <w:rPr>
          <w:rFonts w:ascii="Calibri" w:cs="Calibri" w:eastAsia="Calibri" w:hAnsi="Calibri"/>
          <w:b/>
          <w:bCs/>
          <w:color w:val="1C2B39"/>
          <w:sz w:val="20"/>
          <w:szCs w:val="20"/>
        </w:rPr>
        <w:t xml:space="preserve">Displayed Seaway apps — short-lived signed handoff</w:t>
      </w:r>
    </w:p>
    <w:p>
      <w:pPr>
        <w:spacing w:after="90"/>
      </w:pPr>
      <w:r>
        <w:rPr>
          <w:rFonts w:ascii="Calibri" w:cs="Calibri" w:eastAsia="Calibri" w:hAnsi="Calibri"/>
          <w:sz w:val="20"/>
          <w:szCs w:val="20"/>
        </w:rPr>
        <w:t xml:space="preserve">For an iframe pane pointing at an internal Seaway application, the signage app mints a short-lived, audience-scoped signed token, valid for roughly five minutes. The target application exposes a display route that accepts it and establishes a read-only session. The player refreshes the token before expiry. No long-lived credential for any other application ever sits on the device.</w:t>
      </w:r>
    </w:p>
    <w:p>
      <w:pPr>
        <w:spacing w:after="50" w:before="110"/>
      </w:pPr>
      <w:r>
        <w:rPr>
          <w:rFonts w:ascii="Calibri" w:cs="Calibri" w:eastAsia="Calibri" w:hAnsi="Calibri"/>
          <w:b/>
          <w:bCs/>
          <w:color w:val="F4762B"/>
          <w:sz w:val="20"/>
          <w:szCs w:val="20"/>
        </w:rPr>
        <w:t xml:space="preserve">6.3  </w:t>
      </w:r>
      <w:r>
        <w:rPr>
          <w:rFonts w:ascii="Calibri" w:cs="Calibri" w:eastAsia="Calibri" w:hAnsi="Calibri"/>
          <w:b/>
          <w:bCs/>
          <w:color w:val="1C2B39"/>
          <w:sz w:val="20"/>
          <w:szCs w:val="20"/>
        </w:rPr>
        <w:t xml:space="preserve">Admin UI and vendor pages</w:t>
      </w:r>
    </w:p>
    <w:p>
      <w:pPr>
        <w:spacing w:after="90"/>
      </w:pPr>
      <w:r>
        <w:rPr>
          <w:rFonts w:ascii="Calibri" w:cs="Calibri" w:eastAsia="Calibri" w:hAnsi="Calibri"/>
          <w:sz w:val="20"/>
          <w:szCs w:val="20"/>
        </w:rPr>
        <w:t xml:space="preserve">Administrators managing the fleet authenticate through Seaway.AppSecurity in the normal way. Vendor pages are handled by the snapshot worker, which holds the vendor credential server-side; no vendor credential is ever delivered to a stick.</w:t>
      </w:r>
    </w:p>
    <w:p>
      <w:pPr>
        <w:spacing w:after="70" w:before="170"/>
      </w:pPr>
      <w:r>
        <w:rPr>
          <w:rFonts w:ascii="Calibri" w:cs="Calibri" w:eastAsia="Calibri" w:hAnsi="Calibri"/>
          <w:b/>
          <w:bCs/>
          <w:color w:val="F4762B"/>
          <w:sz w:val="23"/>
          <w:szCs w:val="23"/>
        </w:rPr>
        <w:t xml:space="preserve">7.0  </w:t>
      </w:r>
      <w:r>
        <w:rPr>
          <w:rFonts w:ascii="Calibri" w:cs="Calibri" w:eastAsia="Calibri" w:hAnsi="Calibri"/>
          <w:b/>
          <w:bCs/>
          <w:color w:val="1C2B39"/>
          <w:sz w:val="23"/>
          <w:szCs w:val="23"/>
        </w:rPr>
        <w:t xml:space="preserve">Risks</w:t>
      </w:r>
    </w:p>
    <w:p>
      <w:pPr>
        <w:spacing w:after="50" w:before="110"/>
      </w:pPr>
      <w:r>
        <w:rPr>
          <w:rFonts w:ascii="Calibri" w:cs="Calibri" w:eastAsia="Calibri" w:hAnsi="Calibri"/>
          <w:b/>
          <w:bCs/>
          <w:color w:val="F4762B"/>
          <w:sz w:val="20"/>
          <w:szCs w:val="20"/>
        </w:rPr>
        <w:t xml:space="preserve">7.1  </w:t>
      </w:r>
      <w:r>
        <w:rPr>
          <w:rFonts w:ascii="Calibri" w:cs="Calibri" w:eastAsia="Calibri" w:hAnsi="Calibri"/>
          <w:b/>
          <w:bCs/>
          <w:color w:val="1C2B39"/>
          <w:sz w:val="20"/>
          <w:szCs w:val="20"/>
        </w:rPr>
        <w:t xml:space="preserve">Remote Management API eligibility</w:t>
      </w:r>
    </w:p>
    <w:p>
      <w:pPr>
        <w:spacing w:after="90"/>
      </w:pPr>
      <w:r>
        <w:rPr>
          <w:rFonts w:ascii="Calibri" w:cs="Calibri" w:eastAsia="Calibri" w:hAnsi="Calibri"/>
          <w:sz w:val="20"/>
          <w:szCs w:val="20"/>
        </w:rPr>
        <w:t xml:space="preserve">Amazon documents the API as available to approved Amazon Signage Stick CMS providers. We are an end customer building an internal tool, not a CMS vendor, and it is genuinely unclear whether we can obtain credentials. This is the single largest open question and Phase 0 must resolve it before anyone plans around it.</w:t>
      </w:r>
    </w:p>
    <w:p>
      <w:pPr>
        <w:spacing w:after="90"/>
      </w:pPr>
      <w:r>
        <w:rPr>
          <w:rFonts w:ascii="Calibri" w:cs="Calibri" w:eastAsia="Calibri" w:hAnsi="Calibri"/>
          <w:sz w:val="20"/>
          <w:szCs w:val="20"/>
        </w:rPr>
        <w:t xml:space="preserve">If we cannot get access we lose remote power control, reboot, orientation and hardware telemetry. Every fallback is viable, and the project remains fully deliverable without the API — Phase 4 is genuinely optional.</w:t>
      </w:r>
    </w:p>
    <w:p>
      <w:pPr>
        <w:spacing w:after="35" w:before="60"/>
      </w:pPr>
      <w:r>
        <w:rPr>
          <w:rFonts w:ascii="Calibri" w:cs="Calibri" w:eastAsia="Calibri" w:hAnsi="Calibri"/>
          <w:b/>
          <w:bCs/>
          <w:i/>
          <w:iCs/>
          <w:sz w:val="20"/>
          <w:szCs w:val="20"/>
        </w:rPr>
        <w:t xml:space="preserve">Table 4 — Fallbacks if Remote Management API access cannot be obtained.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Lost capability</w:t>
            </w:r>
          </w:p>
        </w:tc>
        <w:tc>
          <w:tcPr>
            <w:tcW w:type="dxa" w:w="63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Fallback</w:t>
            </w:r>
          </w:p>
        </w:tc>
      </w:tr>
      <w:tr>
        <w:trPr>
          <w:cantSplit/>
          <w:tblHeader w:val="false"/>
        </w:trPr>
        <w:tc>
          <w:tcPr>
            <w:tcW w:type="dxa" w:w="3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Liveness and health</w:t>
            </w:r>
          </w:p>
        </w:tc>
        <w:tc>
          <w:tcPr>
            <w:tcW w:type="dxa" w:w="6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The player heartbeat, which is a stronger signal in any case (see 7.2)</w:t>
            </w:r>
          </w:p>
        </w:tc>
      </w:tr>
      <w:tr>
        <w:trPr>
          <w:cantSplit/>
          <w:tblHeader w:val="false"/>
        </w:trPr>
        <w:tc>
          <w:tcPr>
            <w:tcW w:type="dxa" w:w="3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Scheduled power-off at night</w:t>
            </w:r>
          </w:p>
        </w:tc>
        <w:tc>
          <w:tcPr>
            <w:tcW w:type="dxa" w:w="6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HDMI-CEC from the stick, or the television's own built-in power schedule</w:t>
            </w:r>
          </w:p>
        </w:tc>
      </w:tr>
      <w:tr>
        <w:trPr>
          <w:cantSplit/>
          <w:tblHeader w:val="false"/>
        </w:trPr>
        <w:tc>
          <w:tcPr>
            <w:tcW w:type="dxa" w:w="3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Hard reboot</w:t>
            </w:r>
          </w:p>
        </w:tc>
        <w:tc>
          <w:tcPr>
            <w:tcW w:type="dxa" w:w="6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 managed smart plug on the television or stick circuit</w:t>
            </w:r>
          </w:p>
        </w:tc>
      </w:tr>
      <w:tr>
        <w:trPr>
          <w:cantSplit/>
          <w:tblHeader w:val="false"/>
        </w:trPr>
        <w:tc>
          <w:tcPr>
            <w:tcW w:type="dxa" w:w="30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Orientation</w:t>
            </w:r>
          </w:p>
        </w:tc>
        <w:tc>
          <w:tcPr>
            <w:tcW w:type="dxa" w:w="63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Set once, physically, at installation</w:t>
            </w:r>
          </w:p>
        </w:tc>
      </w:tr>
    </w:tbl>
    <w:p>
      <w:pPr>
        <w:spacing w:after="50" w:before="110"/>
      </w:pPr>
      <w:r>
        <w:rPr>
          <w:rFonts w:ascii="Calibri" w:cs="Calibri" w:eastAsia="Calibri" w:hAnsi="Calibri"/>
          <w:b/>
          <w:bCs/>
          <w:color w:val="F4762B"/>
          <w:sz w:val="20"/>
          <w:szCs w:val="20"/>
        </w:rPr>
        <w:t xml:space="preserve">7.2  </w:t>
      </w:r>
      <w:r>
        <w:rPr>
          <w:rFonts w:ascii="Calibri" w:cs="Calibri" w:eastAsia="Calibri" w:hAnsi="Calibri"/>
          <w:b/>
          <w:bCs/>
          <w:color w:val="1C2B39"/>
          <w:sz w:val="20"/>
          <w:szCs w:val="20"/>
        </w:rPr>
        <w:t xml:space="preserve">Heartbeat beats telemetry</w:t>
      </w:r>
    </w:p>
    <w:p>
      <w:pPr>
        <w:spacing w:after="90"/>
      </w:pPr>
      <w:r>
        <w:rPr>
          <w:rFonts w:ascii="Calibri" w:cs="Calibri" w:eastAsia="Calibri" w:hAnsi="Calibri"/>
          <w:sz w:val="20"/>
          <w:szCs w:val="20"/>
        </w:rPr>
        <w:t xml:space="preserve">Worth stating plainly: the player heartbeat proves the entire chain — network up, kiosk application alive, our site reachable, page actually rendering. Amazon's device telemetry proves only that the hardware is powered and online, which is a much weaker claim. Even with full API access, the heartbeat is the primary health signal and the telemetry is supplementary.</w:t>
      </w:r>
    </w:p>
    <w:p>
      <w:pPr>
        <w:spacing w:after="50" w:before="110"/>
      </w:pPr>
      <w:r>
        <w:rPr>
          <w:rFonts w:ascii="Calibri" w:cs="Calibri" w:eastAsia="Calibri" w:hAnsi="Calibri"/>
          <w:b/>
          <w:bCs/>
          <w:color w:val="F4762B"/>
          <w:sz w:val="20"/>
          <w:szCs w:val="20"/>
        </w:rPr>
        <w:t xml:space="preserve">7.3  </w:t>
      </w:r>
      <w:r>
        <w:rPr>
          <w:rFonts w:ascii="Calibri" w:cs="Calibri" w:eastAsia="Calibri" w:hAnsi="Calibri"/>
          <w:b/>
          <w:bCs/>
          <w:color w:val="1C2B39"/>
          <w:sz w:val="20"/>
          <w:szCs w:val="20"/>
        </w:rPr>
        <w:t xml:space="preserve">TLS on an internal hostname</w:t>
      </w:r>
    </w:p>
    <w:p>
      <w:pPr>
        <w:spacing w:after="90"/>
      </w:pPr>
      <w:r>
        <w:rPr>
          <w:rFonts w:ascii="Calibri" w:cs="Calibri" w:eastAsia="Calibri" w:hAnsi="Calibri"/>
          <w:sz w:val="20"/>
          <w:szCs w:val="20"/>
        </w:rPr>
        <w:t xml:space="preserve">The kiosk webview is very unlikely to trust Seaway's internal certificate authority, and there is no practical way to install a root certificate on a locked-down signage device. A self-signed or internal-CA certificate will almost certainly produce a hard failure with no clickable "proceed" button on a device that has no pointer.</w:t>
      </w:r>
    </w:p>
    <w:p>
      <w:pPr>
        <w:spacing w:after="90"/>
      </w:pPr>
      <w:r>
        <w:rPr>
          <w:rFonts w:ascii="Calibri" w:cs="Calibri" w:eastAsia="Calibri" w:hAnsi="Calibri"/>
          <w:sz w:val="20"/>
          <w:szCs w:val="20"/>
        </w:rPr>
        <w:t xml:space="preserve">Plan instead for a publicly-trusted certificate on an internal-only name: own a real DNS name, issue it via ACME DNS-01 so no inbound internet access is needed, and resolve it to the on-prem address with split-horizon DNS. Budget real time for this. It is routinely underestimated and it blocks everything else.</w:t>
      </w:r>
    </w:p>
    <w:p>
      <w:pPr>
        <w:spacing w:after="50" w:before="110"/>
      </w:pPr>
      <w:r>
        <w:rPr>
          <w:rFonts w:ascii="Calibri" w:cs="Calibri" w:eastAsia="Calibri" w:hAnsi="Calibri"/>
          <w:b/>
          <w:bCs/>
          <w:color w:val="F4762B"/>
          <w:sz w:val="20"/>
          <w:szCs w:val="20"/>
        </w:rPr>
        <w:t xml:space="preserve">7.4  </w:t>
      </w:r>
      <w:r>
        <w:rPr>
          <w:rFonts w:ascii="Calibri" w:cs="Calibri" w:eastAsia="Calibri" w:hAnsi="Calibri"/>
          <w:b/>
          <w:bCs/>
          <w:color w:val="1C2B39"/>
          <w:sz w:val="20"/>
          <w:szCs w:val="20"/>
        </w:rPr>
        <w:t xml:space="preserve">Iframe refusal</w:t>
      </w:r>
    </w:p>
    <w:p>
      <w:pPr>
        <w:spacing w:after="90"/>
      </w:pPr>
      <w:r>
        <w:rPr>
          <w:rFonts w:ascii="Calibri" w:cs="Calibri" w:eastAsia="Calibri" w:hAnsi="Calibri"/>
          <w:sz w:val="20"/>
          <w:szCs w:val="20"/>
        </w:rPr>
        <w:t xml:space="preserve">X-Frame-Options and CSP frame-ancestors will block a meaningful share of target pages.</w:t>
      </w:r>
    </w:p>
    <w:p>
      <w:pPr>
        <w:pStyle w:val="ListParagraph"/>
        <w:numPr>
          <w:ilvl w:val="0"/>
          <w:numId w:val="2"/>
        </w:numPr>
        <w:spacing w:after="35"/>
      </w:pPr>
      <w:r>
        <w:rPr>
          <w:rFonts w:ascii="Calibri" w:cs="Calibri" w:eastAsia="Calibri" w:hAnsi="Calibri"/>
          <w:sz w:val="20"/>
          <w:szCs w:val="20"/>
        </w:rPr>
        <w:t xml:space="preserve">Seaway-owned applications: add a frame-ancestors allowance for the signage host. Cheap, but it is a change to each displayed application, so it belongs in their backlogs too.</w:t>
      </w:r>
    </w:p>
    <w:p>
      <w:pPr>
        <w:pStyle w:val="ListParagraph"/>
        <w:numPr>
          <w:ilvl w:val="0"/>
          <w:numId w:val="2"/>
        </w:numPr>
        <w:spacing w:after="35"/>
      </w:pPr>
      <w:r>
        <w:rPr>
          <w:rFonts w:ascii="Calibri" w:cs="Calibri" w:eastAsia="Calibri" w:hAnsi="Calibri"/>
          <w:sz w:val="20"/>
          <w:szCs w:val="20"/>
        </w:rPr>
        <w:t xml:space="preserve">Vendor pages: route through the snapshot worker (section 7.6).</w:t>
      </w:r>
    </w:p>
    <w:p>
      <w:pPr>
        <w:pStyle w:val="ListParagraph"/>
        <w:numPr>
          <w:ilvl w:val="0"/>
          <w:numId w:val="2"/>
        </w:numPr>
        <w:spacing w:after="35"/>
      </w:pPr>
      <w:r>
        <w:rPr>
          <w:rFonts w:ascii="Calibri" w:cs="Calibri" w:eastAsia="Calibri" w:hAnsi="Calibri"/>
          <w:sz w:val="20"/>
          <w:szCs w:val="20"/>
        </w:rPr>
        <w:t xml:space="preserve">Reverse-proxy header rewriting is technically possible, fragile, and silently defeats a control the vendor set deliberately. Listed only to be explicitly ruled out.</w:t>
      </w:r>
    </w:p>
    <w:p>
      <w:pPr>
        <w:spacing w:after="50" w:before="110"/>
      </w:pPr>
      <w:r>
        <w:rPr>
          <w:rFonts w:ascii="Calibri" w:cs="Calibri" w:eastAsia="Calibri" w:hAnsi="Calibri"/>
          <w:b/>
          <w:bCs/>
          <w:color w:val="F4762B"/>
          <w:sz w:val="20"/>
          <w:szCs w:val="20"/>
        </w:rPr>
        <w:t xml:space="preserve">7.5  </w:t>
      </w:r>
      <w:r>
        <w:rPr>
          <w:rFonts w:ascii="Calibri" w:cs="Calibri" w:eastAsia="Calibri" w:hAnsi="Calibri"/>
          <w:b/>
          <w:bCs/>
          <w:color w:val="1C2B39"/>
          <w:sz w:val="20"/>
          <w:szCs w:val="20"/>
        </w:rPr>
        <w:t xml:space="preserve">Single point of failure</w:t>
      </w:r>
    </w:p>
    <w:p>
      <w:pPr>
        <w:spacing w:after="90"/>
      </w:pPr>
      <w:r>
        <w:rPr>
          <w:rFonts w:ascii="Calibri" w:cs="Calibri" w:eastAsia="Calibri" w:hAnsi="Calibri"/>
          <w:sz w:val="20"/>
          <w:szCs w:val="20"/>
        </w:rPr>
        <w:t xml:space="preserve">Every television depends on one on-prem application. This is mitigated by the player's local playlist cache, so a server outage degrades to slightly stale content rather than every screen in the building going black. It is the highest-value resilience feature in this plan and it belongs in Phase 1, not later.</w:t>
      </w:r>
    </w:p>
    <w:p>
      <w:pPr>
        <w:spacing w:after="50" w:before="110"/>
      </w:pPr>
      <w:r>
        <w:rPr>
          <w:rFonts w:ascii="Calibri" w:cs="Calibri" w:eastAsia="Calibri" w:hAnsi="Calibri"/>
          <w:b/>
          <w:bCs/>
          <w:color w:val="F4762B"/>
          <w:sz w:val="20"/>
          <w:szCs w:val="20"/>
        </w:rPr>
        <w:t xml:space="preserve">7.6  </w:t>
      </w:r>
      <w:r>
        <w:rPr>
          <w:rFonts w:ascii="Calibri" w:cs="Calibri" w:eastAsia="Calibri" w:hAnsi="Calibri"/>
          <w:b/>
          <w:bCs/>
          <w:color w:val="1C2B39"/>
          <w:sz w:val="20"/>
          <w:szCs w:val="20"/>
        </w:rPr>
        <w:t xml:space="preserve">The snapshot worker</w:t>
      </w:r>
    </w:p>
    <w:p>
      <w:pPr>
        <w:spacing w:after="90"/>
      </w:pPr>
      <w:r>
        <w:rPr>
          <w:rFonts w:ascii="Calibri" w:cs="Calibri" w:eastAsia="Calibri" w:hAnsi="Calibri"/>
          <w:sz w:val="20"/>
          <w:szCs w:val="20"/>
        </w:rPr>
        <w:t xml:space="preserve">For content that cannot be framed, or that needs server-held credentials, a headless Chromium service runs on-prem, signs in as required, renders the target page on a schedule and publishes an image the player shows as a snapshot pane. It solves vendor authentication and iframe refusal in one move.</w:t>
      </w:r>
    </w:p>
    <w:p>
      <w:pPr>
        <w:spacing w:after="90"/>
      </w:pPr>
      <w:r>
        <w:rPr>
          <w:rFonts w:ascii="Calibri" w:cs="Calibri" w:eastAsia="Calibri" w:hAnsi="Calibri"/>
          <w:sz w:val="20"/>
          <w:szCs w:val="20"/>
        </w:rPr>
        <w:t xml:space="preserve">Its cost is freshness: a snapshot is only as current as its render interval, so it cannot meet the five-second target. The admin UI should show each snapshot's render age clearly, so nobody mistakes a five-minute-old image for live data.</w:t>
      </w:r>
    </w:p>
    <w:p>
      <w:pPr>
        <w:spacing w:after="50" w:before="110"/>
      </w:pPr>
      <w:r>
        <w:rPr>
          <w:rFonts w:ascii="Calibri" w:cs="Calibri" w:eastAsia="Calibri" w:hAnsi="Calibri"/>
          <w:b/>
          <w:bCs/>
          <w:color w:val="F4762B"/>
          <w:sz w:val="20"/>
          <w:szCs w:val="20"/>
        </w:rPr>
        <w:t xml:space="preserve">7.7  </w:t>
      </w:r>
      <w:r>
        <w:rPr>
          <w:rFonts w:ascii="Calibri" w:cs="Calibri" w:eastAsia="Calibri" w:hAnsi="Calibri"/>
          <w:b/>
          <w:bCs/>
          <w:color w:val="1C2B39"/>
          <w:sz w:val="20"/>
          <w:szCs w:val="20"/>
        </w:rPr>
        <w:t xml:space="preserve">Smaller risks</w:t>
      </w:r>
    </w:p>
    <w:p>
      <w:pPr>
        <w:spacing w:after="90"/>
      </w:pPr>
      <w:r>
        <w:rPr>
          <w:rFonts w:ascii="Calibri" w:cs="Calibri" w:eastAsia="Calibri" w:hAnsi="Calibri"/>
          <w:sz w:val="20"/>
          <w:szCs w:val="20"/>
        </w:rPr>
        <w:t xml:space="preserve">Screen burn-in on static dashboards, addressed by rotating panes or shifting content periodically; television auto-sleep on a static HDMI input; overscan clipping the edges of the page; timezone and NTP correctness on the stick; and autoplay policy if any pane contains video.</w:t>
      </w:r>
    </w:p>
    <w:p>
      <w:pPr>
        <w:spacing w:after="70" w:before="170"/>
      </w:pPr>
      <w:r>
        <w:rPr>
          <w:rFonts w:ascii="Calibri" w:cs="Calibri" w:eastAsia="Calibri" w:hAnsi="Calibri"/>
          <w:b/>
          <w:bCs/>
          <w:color w:val="F4762B"/>
          <w:sz w:val="23"/>
          <w:szCs w:val="23"/>
        </w:rPr>
        <w:t xml:space="preserve">8.0  </w:t>
      </w:r>
      <w:r>
        <w:rPr>
          <w:rFonts w:ascii="Calibri" w:cs="Calibri" w:eastAsia="Calibri" w:hAnsi="Calibri"/>
          <w:b/>
          <w:bCs/>
          <w:color w:val="1C2B39"/>
          <w:sz w:val="23"/>
          <w:szCs w:val="23"/>
        </w:rPr>
        <w:t xml:space="preserve">Shared Services &amp; Standard Features</w:t>
      </w:r>
    </w:p>
    <w:p>
      <w:pPr>
        <w:spacing w:after="90"/>
      </w:pPr>
      <w:r>
        <w:rPr>
          <w:rFonts w:ascii="Calibri" w:cs="Calibri" w:eastAsia="Calibri" w:hAnsi="Calibri"/>
          <w:sz w:val="20"/>
          <w:szCs w:val="20"/>
        </w:rPr>
        <w:t xml:space="preserve">Per the reuse gate, a decision is recorded on every row, including the ones we skip.</w:t>
      </w:r>
    </w:p>
    <w:p>
      <w:pPr>
        <w:spacing w:after="35" w:before="60"/>
      </w:pPr>
      <w:r>
        <w:rPr>
          <w:rFonts w:ascii="Calibri" w:cs="Calibri" w:eastAsia="Calibri" w:hAnsi="Calibri"/>
          <w:b/>
          <w:bCs/>
          <w:i/>
          <w:iCs/>
          <w:sz w:val="20"/>
          <w:szCs w:val="20"/>
        </w:rPr>
        <w:t xml:space="preserve">Table 5 — Shared services decisions for this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Service</w:t>
            </w:r>
          </w:p>
        </w:tc>
        <w:tc>
          <w:tcPr>
            <w:tcW w:type="dxa" w:w="10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Use</w:t>
            </w:r>
          </w:p>
        </w:tc>
        <w:tc>
          <w:tcPr>
            <w:tcW w:type="dxa" w:w="60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Decision</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Seaway.AppSecurity</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Admin UI sign-in. Internal users only. Roles: SignageAdmin, SignageEditor, SignageViewer. Note that AppSecurity adds no role claims — use HttpContext.GetSeawayUser()?.IsInRole(...), not [Authorize(Roles = …)].</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Seaway.Notifications</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Required regardless: AppSecurity depends on it, and the app will not start without the database grant. Real use is the dark-display alert, over email and Teams. Ship the /Admin/Notifications UI.</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Seaway.Storage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Narrow use only: static fallback and notice assets (images, short video). One entity type, short retention. Not used for snapshots, which are transient.</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Seaway.JobEngine</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This app creates no Tharstern print jobs and has no JDF path. Explicitly skipped.</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Seaway.Portal</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Tile for the admin UI under Operations / Internal Tools. Check the Access Denied page reads sensibly to someone arriving cold from the launcher.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Seaway.AdminUi</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1E8449"/>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Default-on. /Admin with assembly version and act-as. Requires CHANGELOG.md and csproj version properties copied into the publish output. Impersonation targets are SignageEditor and SignageViewer, never SignageAdmin. Take the package; do not hand-copy an ImpersonationHelper.</w:t>
            </w:r>
          </w:p>
        </w:tc>
      </w:tr>
      <w:tr>
        <w:trPr>
          <w:cantSplit/>
        </w:trPr>
        <w:tc>
          <w:tcPr>
            <w:tcW w:type="dxa" w:w="23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Seaway.Mailer</w:t>
            </w:r>
          </w:p>
        </w:tc>
        <w:tc>
          <w:tcPr>
            <w:tcW w:type="dxa" w:w="1000"/>
            <w:tcMar>
              <w:top w:type="dxa" w:w="70"/>
              <w:left w:type="dxa" w:w="120"/>
              <w:bottom w:type="dxa" w:w="70"/>
              <w:right w:type="dxa" w:w="120"/>
            </w:tcMar>
            <w:vAlign w:val="center"/>
          </w:tcPr>
          <w:p>
            <w:pPr>
              <w:spacing w:after="0"/>
              <w:jc w:val="center"/>
            </w:pPr>
            <w:r>
              <w:rPr>
                <w:rFonts w:ascii="Calibri" w:cs="Calibri" w:eastAsia="Calibri" w:hAnsi="Calibri"/>
                <w:b/>
                <w:bCs/>
                <w:color w:val="C0392B"/>
                <w:sz w:val="28"/>
                <w:szCs w:val="28"/>
              </w:rPr>
              <w:t xml:space="preserve">✗</w:t>
            </w:r>
          </w:p>
        </w:tc>
        <w:tc>
          <w:tcPr>
            <w:tcW w:type="dxa" w:w="60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Deprecated. Never referenced in new code.</w:t>
            </w:r>
          </w:p>
        </w:tc>
      </w:tr>
    </w:tbl>
    <w:p>
      <w:pPr>
        <w:spacing w:after="50" w:before="110"/>
      </w:pPr>
      <w:r>
        <w:rPr>
          <w:rFonts w:ascii="Calibri" w:cs="Calibri" w:eastAsia="Calibri" w:hAnsi="Calibri"/>
          <w:b/>
          <w:bCs/>
          <w:color w:val="F4762B"/>
          <w:sz w:val="20"/>
          <w:szCs w:val="20"/>
        </w:rPr>
        <w:t xml:space="preserve">8.1  </w:t>
      </w:r>
      <w:r>
        <w:rPr>
          <w:rFonts w:ascii="Calibri" w:cs="Calibri" w:eastAsia="Calibri" w:hAnsi="Calibri"/>
          <w:b/>
          <w:bCs/>
          <w:color w:val="1C2B39"/>
          <w:sz w:val="20"/>
          <w:szCs w:val="20"/>
        </w:rPr>
        <w:t xml:space="preserve">Capabilities with no card</w:t>
      </w:r>
    </w:p>
    <w:p>
      <w:pPr>
        <w:spacing w:after="90"/>
      </w:pPr>
      <w:r>
        <w:rPr>
          <w:rFonts w:ascii="Calibri" w:cs="Calibri" w:eastAsia="Calibri" w:hAnsi="Calibri"/>
          <w:sz w:val="20"/>
          <w:szCs w:val="20"/>
        </w:rPr>
        <w:t xml:space="preserve">Two capabilities in this design have no entry in either register: device identity and kiosk display tokens (section 6.1), and on-prem headless page rendering (section 7.6). Under the promotion rule this is the first application to need either, so no card is required yet. It is flagged here so it is not a surprise later: if a second Seaway application needs display device tokens, that is the moment it needs a card, a conformance definition and a named owner.</w:t>
      </w:r>
    </w:p>
    <w:p>
      <w:pPr>
        <w:spacing w:after="50" w:before="110"/>
      </w:pPr>
      <w:r>
        <w:rPr>
          <w:rFonts w:ascii="Calibri" w:cs="Calibri" w:eastAsia="Calibri" w:hAnsi="Calibri"/>
          <w:b/>
          <w:bCs/>
          <w:color w:val="F4762B"/>
          <w:sz w:val="20"/>
          <w:szCs w:val="20"/>
        </w:rPr>
        <w:t xml:space="preserve">8.2  </w:t>
      </w:r>
      <w:r>
        <w:rPr>
          <w:rFonts w:ascii="Calibri" w:cs="Calibri" w:eastAsia="Calibri" w:hAnsi="Calibri"/>
          <w:b/>
          <w:bCs/>
          <w:color w:val="1C2B39"/>
          <w:sz w:val="20"/>
          <w:szCs w:val="20"/>
        </w:rPr>
        <w:t xml:space="preserve">Styling</w:t>
      </w:r>
    </w:p>
    <w:p>
      <w:pPr>
        <w:pStyle w:val="ListParagraph"/>
        <w:numPr>
          <w:ilvl w:val="0"/>
          <w:numId w:val="2"/>
        </w:numPr>
        <w:spacing w:after="35"/>
      </w:pPr>
      <w:r>
        <w:rPr>
          <w:rFonts w:ascii="Calibri" w:cs="Calibri" w:eastAsia="Calibri" w:hAnsi="Calibri"/>
          <w:sz w:val="20"/>
          <w:szCs w:val="20"/>
        </w:rPr>
        <w:t xml:space="preserve">The admin UI and the display-only screens follow seaway-app-style (Direction 1).</w:t>
      </w:r>
    </w:p>
    <w:p>
      <w:pPr>
        <w:pStyle w:val="ListParagraph"/>
        <w:numPr>
          <w:ilvl w:val="0"/>
          <w:numId w:val="2"/>
        </w:numPr>
        <w:spacing w:after="35"/>
      </w:pPr>
      <w:r>
        <w:rPr>
          <w:rFonts w:ascii="Calibri" w:cs="Calibri" w:eastAsia="Calibri" w:hAnsi="Calibri"/>
          <w:sz w:val="20"/>
          <w:szCs w:val="20"/>
        </w:rPr>
        <w:t xml:space="preserve">Display screens need a deliberate variant of it. Viewing distance is three to ten metres, not fifty centimetres, so expect to define a larger type scale, heavier weights and higher-contrast pairings as an explicit signage extension rather than reusing app-screen sizing.</w:t>
      </w:r>
    </w:p>
    <w:p>
      <w:pPr>
        <w:pStyle w:val="ListParagraph"/>
        <w:numPr>
          <w:ilvl w:val="0"/>
          <w:numId w:val="2"/>
        </w:numPr>
        <w:spacing w:after="35"/>
      </w:pPr>
      <w:r>
        <w:rPr>
          <w:rFonts w:ascii="Calibri" w:cs="Calibri" w:eastAsia="Calibri" w:hAnsi="Calibri"/>
          <w:sz w:val="20"/>
          <w:szCs w:val="20"/>
        </w:rPr>
        <w:t xml:space="preserve">Installation and runbook documentation follows seaway-document-style. If any of it becomes a floor procedure, it moves to seaway-sop-builder for numbering.</w:t>
      </w:r>
    </w:p>
    <w:p>
      <w:pPr>
        <w:spacing w:after="70" w:before="170"/>
      </w:pPr>
      <w:r>
        <w:rPr>
          <w:rFonts w:ascii="Calibri" w:cs="Calibri" w:eastAsia="Calibri" w:hAnsi="Calibri"/>
          <w:b/>
          <w:bCs/>
          <w:color w:val="F4762B"/>
          <w:sz w:val="23"/>
          <w:szCs w:val="23"/>
        </w:rPr>
        <w:t xml:space="preserve">9.0  </w:t>
      </w:r>
      <w:r>
        <w:rPr>
          <w:rFonts w:ascii="Calibri" w:cs="Calibri" w:eastAsia="Calibri" w:hAnsi="Calibri"/>
          <w:b/>
          <w:bCs/>
          <w:color w:val="1C2B39"/>
          <w:sz w:val="23"/>
          <w:szCs w:val="23"/>
        </w:rPr>
        <w:t xml:space="preserve">Phased Delivery</w:t>
      </w:r>
    </w:p>
    <w:p>
      <w:pPr>
        <w:spacing w:after="35" w:before="60"/>
      </w:pPr>
      <w:r>
        <w:rPr>
          <w:rFonts w:ascii="Calibri" w:cs="Calibri" w:eastAsia="Calibri" w:hAnsi="Calibri"/>
          <w:b/>
          <w:bCs/>
          <w:i/>
          <w:iCs/>
          <w:sz w:val="20"/>
          <w:szCs w:val="20"/>
        </w:rPr>
        <w:t xml:space="preserve">Table 6 — Delivery phases, scope and rough effort.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960"/>
        <w:gridCol w:w="1700"/>
      </w:tblGrid>
      <w:tr>
        <w:trPr>
          <w:cantSplit/>
          <w:tblHeader/>
        </w:trPr>
        <w:tc>
          <w:tcPr>
            <w:tcW w:type="dxa" w:w="17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Phase</w:t>
            </w:r>
          </w:p>
        </w:tc>
        <w:tc>
          <w:tcPr>
            <w:tcW w:type="dxa" w:w="596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Scope</w:t>
            </w:r>
          </w:p>
        </w:tc>
        <w:tc>
          <w:tcPr>
            <w:tcW w:type="dxa" w:w="1700"/>
            <w:shd w:fill="1C2B39" w:val="clear"/>
            <w:tcMar>
              <w:top w:type="dxa" w:w="45"/>
              <w:left w:type="dxa" w:w="120"/>
              <w:bottom w:type="dxa" w:w="45"/>
              <w:right w:type="dxa" w:w="120"/>
            </w:tcMar>
          </w:tcPr>
          <w:p>
            <w:pPr>
              <w:spacing w:after="0"/>
            </w:pPr>
            <w:r>
              <w:rPr>
                <w:rFonts w:ascii="Calibri" w:cs="Calibri" w:eastAsia="Calibri" w:hAnsi="Calibri"/>
                <w:b/>
                <w:bCs/>
                <w:color w:val="FFFFFF"/>
                <w:sz w:val="19"/>
                <w:szCs w:val="19"/>
              </w:rPr>
              <w:t xml:space="preserve">Effort</w:t>
            </w:r>
          </w:p>
        </w:tc>
      </w:tr>
      <w:tr>
        <w:trPr>
          <w:cantSplit/>
          <w:tblHeader w:val="false"/>
        </w:trPr>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0 — Spikes</w:t>
            </w:r>
          </w:p>
        </w:tc>
        <w:tc>
          <w:tcPr>
            <w:tcW w:type="dxa" w:w="5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One stick, one television. Confirm the console can point at an arbitrary URL; that the URL survives reboot and power loss; the webview engine and its support for SSE and local storage; whether Remote Management API credentials are obtainable; HDMI-CEC behaviour; and that a publicly-trusted certificate on a split-horizon name works on the device.</w:t>
            </w:r>
          </w:p>
        </w:tc>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 week</w:t>
            </w:r>
          </w:p>
        </w:tc>
      </w:tr>
      <w:tr>
        <w:trPr>
          <w:cantSplit/>
          <w:tblHeader w:val="false"/>
        </w:trPr>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 — Vertical slice</w:t>
            </w:r>
          </w:p>
        </w:tc>
        <w:tc>
          <w:tcPr>
            <w:tcW w:type="dxa" w:w="5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One group, one hard-coded URL, the pairing flow, the local playlist cache and the heartbeat.</w:t>
            </w:r>
          </w:p>
        </w:tc>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 week</w:t>
            </w:r>
          </w:p>
        </w:tc>
      </w:tr>
      <w:tr>
        <w:trPr>
          <w:cantSplit/>
          <w:tblHeader w:val="false"/>
        </w:trPr>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2 — The application</w:t>
            </w:r>
          </w:p>
        </w:tc>
        <w:tc>
          <w:tcPr>
            <w:tcW w:type="dxa" w:w="5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Admin UI on AppSecurity, Portal tile, /Admin page, groups, playlists, the SSE control plane, display health dashboard and dark-display alerts.</w:t>
            </w:r>
          </w:p>
        </w:tc>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~3 weeks</w:t>
            </w:r>
          </w:p>
        </w:tc>
      </w:tr>
      <w:tr>
        <w:trPr>
          <w:cantSplit/>
          <w:tblHeader w:val="false"/>
        </w:trPr>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3 — Content depth</w:t>
            </w:r>
          </w:p>
        </w:tc>
        <w:tc>
          <w:tcPr>
            <w:tcW w:type="dxa" w:w="5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Schedules for shift changes, overrides, the snapshot worker, native display-only screens and the signage type scale.</w:t>
            </w:r>
          </w:p>
        </w:tc>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~2 weeks</w:t>
            </w:r>
          </w:p>
        </w:tc>
      </w:tr>
      <w:tr>
        <w:trPr>
          <w:cantSplit/>
          <w:tblHeader w:val="false"/>
        </w:trPr>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4 — Device plane</w:t>
            </w:r>
          </w:p>
        </w:tc>
        <w:tc>
          <w:tcPr>
            <w:tcW w:type="dxa" w:w="596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Remote Management API: nightly power schedule, remote reboot and hardware telemetry merged into the health dashboard. Optional, and only if Phase 0 confirms access.</w:t>
            </w:r>
          </w:p>
        </w:tc>
        <w:tc>
          <w:tcPr>
            <w:tcW w:type="dxa" w:w="1700"/>
            <w:tcMar>
              <w:top w:type="dxa" w:w="45"/>
              <w:left w:type="dxa" w:w="120"/>
              <w:bottom w:type="dxa" w:w="45"/>
              <w:right w:type="dxa" w:w="120"/>
            </w:tcMar>
          </w:tcPr>
          <w:p>
            <w:pPr>
              <w:spacing w:after="0"/>
            </w:pPr>
            <w:r>
              <w:rPr>
                <w:rFonts w:ascii="Calibri" w:cs="Calibri" w:eastAsia="Calibri" w:hAnsi="Calibri"/>
                <w:b w:val="false"/>
                <w:bCs w:val="false"/>
                <w:sz w:val="19"/>
                <w:szCs w:val="19"/>
              </w:rPr>
              <w:t xml:space="preserve">~1 week plus procurement</w:t>
            </w:r>
          </w:p>
        </w:tc>
      </w:tr>
    </w:tbl>
    <w:p>
      <w:pPr>
        <w:spacing w:after="50" w:before="110"/>
      </w:pPr>
      <w:r>
        <w:rPr>
          <w:rFonts w:ascii="Calibri" w:cs="Calibri" w:eastAsia="Calibri" w:hAnsi="Calibri"/>
          <w:b/>
          <w:bCs/>
          <w:color w:val="F4762B"/>
          <w:sz w:val="20"/>
          <w:szCs w:val="20"/>
        </w:rPr>
        <w:t xml:space="preserve">9.1  </w:t>
      </w:r>
      <w:r>
        <w:rPr>
          <w:rFonts w:ascii="Calibri" w:cs="Calibri" w:eastAsia="Calibri" w:hAnsi="Calibri"/>
          <w:b/>
          <w:bCs/>
          <w:color w:val="1C2B39"/>
          <w:sz w:val="20"/>
          <w:szCs w:val="20"/>
        </w:rPr>
        <w:t xml:space="preserve">Phase 0 is a gate</w:t>
      </w:r>
    </w:p>
    <w:p>
      <w:pPr>
        <w:spacing w:after="90"/>
      </w:pPr>
      <w:r>
        <w:rPr>
          <w:rFonts w:ascii="Calibri" w:cs="Calibri" w:eastAsia="Calibri" w:hAnsi="Calibri"/>
          <w:sz w:val="20"/>
          <w:szCs w:val="20"/>
        </w:rPr>
        <w:t xml:space="preserve">The first two Phase 0 questions can invalidate the architecture outright. If the Amazon console cannot point a stick at an arbitrary URL, or that URL does not survive a power cut, the approach changes and a third-party CMS returns to the table. Nothing else should start until both are answered.</w:t>
      </w:r>
    </w:p>
    <w:p>
      <w:pPr>
        <w:spacing w:after="50" w:before="110"/>
      </w:pPr>
      <w:r>
        <w:rPr>
          <w:rFonts w:ascii="Calibri" w:cs="Calibri" w:eastAsia="Calibri" w:hAnsi="Calibri"/>
          <w:b/>
          <w:bCs/>
          <w:color w:val="F4762B"/>
          <w:sz w:val="20"/>
          <w:szCs w:val="20"/>
        </w:rPr>
        <w:t xml:space="preserve">9.2  </w:t>
      </w:r>
      <w:r>
        <w:rPr>
          <w:rFonts w:ascii="Calibri" w:cs="Calibri" w:eastAsia="Calibri" w:hAnsi="Calibri"/>
          <w:b/>
          <w:bCs/>
          <w:color w:val="1C2B39"/>
          <w:sz w:val="20"/>
          <w:szCs w:val="20"/>
        </w:rPr>
        <w:t xml:space="preserve">Phase 1 exit criterion</w:t>
      </w:r>
    </w:p>
    <w:p>
      <w:pPr>
        <w:spacing w:after="90"/>
      </w:pPr>
      <w:r>
        <w:rPr>
          <w:rFonts w:ascii="Calibri" w:cs="Calibri" w:eastAsia="Calibri" w:hAnsi="Calibri"/>
          <w:sz w:val="20"/>
          <w:szCs w:val="20"/>
        </w:rPr>
        <w:t xml:space="preserve">A television shows the page and survives a weekend, including an overnight power cut, with nobody touching it. That single test retires most of the operational risk in this plan.</w:t>
      </w:r>
    </w:p>
    <w:p>
      <w:pPr>
        <w:spacing w:after="70" w:before="170"/>
      </w:pPr>
      <w:r>
        <w:rPr>
          <w:rFonts w:ascii="Calibri" w:cs="Calibri" w:eastAsia="Calibri" w:hAnsi="Calibri"/>
          <w:b/>
          <w:bCs/>
          <w:color w:val="F4762B"/>
          <w:sz w:val="23"/>
          <w:szCs w:val="23"/>
        </w:rPr>
        <w:t xml:space="preserve">10.0  </w:t>
      </w:r>
      <w:r>
        <w:rPr>
          <w:rFonts w:ascii="Calibri" w:cs="Calibri" w:eastAsia="Calibri" w:hAnsi="Calibri"/>
          <w:b/>
          <w:bCs/>
          <w:color w:val="1C2B39"/>
          <w:sz w:val="23"/>
          <w:szCs w:val="23"/>
        </w:rPr>
        <w:t xml:space="preserve">Open Questions for Seaway</w:t>
      </w:r>
    </w:p>
    <w:p>
      <w:pPr>
        <w:pStyle w:val="ListParagraph"/>
        <w:numPr>
          <w:ilvl w:val="0"/>
          <w:numId w:val="2"/>
        </w:numPr>
        <w:spacing w:after="35"/>
      </w:pPr>
      <w:r>
        <w:rPr>
          <w:rFonts w:ascii="Calibri" w:cs="Calibri" w:eastAsia="Calibri" w:hAnsi="Calibri"/>
          <w:sz w:val="20"/>
          <w:szCs w:val="20"/>
        </w:rPr>
        <w:t xml:space="preserve">How many sticks, and across how many sites? This drives whether display groups need a site axis and whether one on-prem instance is sufficient.</w:t>
      </w:r>
    </w:p>
    <w:p>
      <w:pPr>
        <w:pStyle w:val="ListParagraph"/>
        <w:numPr>
          <w:ilvl w:val="0"/>
          <w:numId w:val="2"/>
        </w:numPr>
        <w:spacing w:after="35"/>
      </w:pPr>
      <w:r>
        <w:rPr>
          <w:rFonts w:ascii="Calibri" w:cs="Calibri" w:eastAsia="Calibri" w:hAnsi="Calibri"/>
          <w:sz w:val="20"/>
          <w:szCs w:val="20"/>
        </w:rPr>
        <w:t xml:space="preserve">Which existing internal applications are in the content mix? Each needs a frame-ancestors change and a read-only display route — work that belongs in their backlogs, not this one.</w:t>
      </w:r>
    </w:p>
    <w:p>
      <w:pPr>
        <w:pStyle w:val="ListParagraph"/>
        <w:numPr>
          <w:ilvl w:val="0"/>
          <w:numId w:val="2"/>
        </w:numPr>
        <w:spacing w:after="35"/>
      </w:pPr>
      <w:r>
        <w:rPr>
          <w:rFonts w:ascii="Calibri" w:cs="Calibri" w:eastAsia="Calibri" w:hAnsi="Calibri"/>
          <w:sz w:val="20"/>
          <w:szCs w:val="20"/>
        </w:rPr>
        <w:t xml:space="preserve">Which vendor pages? This determines snapshot worker credential handling and render cadence.</w:t>
      </w:r>
    </w:p>
    <w:p>
      <w:pPr>
        <w:pStyle w:val="ListParagraph"/>
        <w:numPr>
          <w:ilvl w:val="0"/>
          <w:numId w:val="2"/>
        </w:numPr>
        <w:spacing w:after="35"/>
      </w:pPr>
      <w:r>
        <w:rPr>
          <w:rFonts w:ascii="Calibri" w:cs="Calibri" w:eastAsia="Calibri" w:hAnsi="Calibri"/>
          <w:sz w:val="20"/>
          <w:szCs w:val="20"/>
        </w:rPr>
        <w:t xml:space="preserve">Wired or Wi-Fi, and on which VLAN? Wired is strongly preferred for always-on displays.</w:t>
      </w:r>
    </w:p>
    <w:p>
      <w:pPr>
        <w:pStyle w:val="ListParagraph"/>
        <w:numPr>
          <w:ilvl w:val="0"/>
          <w:numId w:val="2"/>
        </w:numPr>
        <w:spacing w:after="35"/>
      </w:pPr>
      <w:r>
        <w:rPr>
          <w:rFonts w:ascii="Calibri" w:cs="Calibri" w:eastAsia="Calibri" w:hAnsi="Calibri"/>
          <w:sz w:val="20"/>
          <w:szCs w:val="20"/>
        </w:rPr>
        <w:t xml:space="preserve">Who owns the fleet operationally — specifically, who receives the dark-display alert at six in the morning?</w:t>
      </w:r>
    </w:p>
    <w:p>
      <w:pPr>
        <w:spacing w:after="70" w:before="170"/>
      </w:pPr>
      <w:r>
        <w:rPr>
          <w:rFonts w:ascii="Calibri" w:cs="Calibri" w:eastAsia="Calibri" w:hAnsi="Calibri"/>
          <w:b/>
          <w:bCs/>
          <w:color w:val="F4762B"/>
          <w:sz w:val="23"/>
          <w:szCs w:val="23"/>
        </w:rPr>
        <w:t xml:space="preserve">11.0  </w:t>
      </w:r>
      <w:r>
        <w:rPr>
          <w:rFonts w:ascii="Calibri" w:cs="Calibri" w:eastAsia="Calibri" w:hAnsi="Calibri"/>
          <w:b/>
          <w:bCs/>
          <w:color w:val="1C2B39"/>
          <w:sz w:val="23"/>
          <w:szCs w:val="23"/>
        </w:rPr>
        <w:t xml:space="preserve">Sourcing Note</w:t>
      </w:r>
    </w:p>
    <w:p>
      <w:pPr>
        <w:spacing w:after="90"/>
      </w:pPr>
      <w:r>
        <w:rPr>
          <w:rFonts w:ascii="Calibri" w:cs="Calibri" w:eastAsia="Calibri" w:hAnsi="Calibri"/>
          <w:i/>
          <w:iCs/>
          <w:color w:val="5B6467"/>
          <w:sz w:val="20"/>
          <w:szCs w:val="20"/>
        </w:rPr>
        <w:t xml:space="preserve">Amazon's published documentation for the Signage Stick and its Remote Management API was summarised from search results rather than read directly, because signage.amazon.com is blocked by the network egress proxy used while preparing this plan. API specifics should be verified against the live documentation during Phase 0.</w:t>
      </w:r>
    </w:p>
    <w:p>
      <w:pPr>
        <w:spacing w:after="90"/>
      </w:pPr>
      <w:r>
        <w:rPr>
          <w:rFonts w:ascii="Calibri" w:cs="Calibri" w:eastAsia="Calibri" w:hAnsi="Calibri"/>
          <w:i/>
          <w:iCs/>
          <w:color w:val="5B6467"/>
          <w:sz w:val="20"/>
          <w:szCs w:val="20"/>
        </w:rPr>
        <w:t xml:space="preserve">The shared services decisions in section 8.0 were taken from the Seaway services skill summary rather than the live service cards in the seaway-templates repository, which was not reachable at the time of writing. They should be re-checked against reference/services/ before scaffolding begins.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260"/>
      <w:tblInd w:type="dxa" w:w="-780"/>
      <w:tblBorders>
        <w:top w:val="none"/>
        <w:left w:val="none"/>
        <w:bottom w:val="none"/>
        <w:right w:val="none"/>
        <w:insideH w:val="none"/>
        <w:insideV w:val="none"/>
      </w:tblBorders>
    </w:tblPr>
    <w:tblGrid>
      <w:gridCol w:w="3600"/>
      <w:gridCol w:w="6660"/>
    </w:tblGrid>
    <w:tr>
      <w:tc>
        <w:tcPr>
          <w:tcW w:type="dxa" w:w="3600"/>
          <w:tcMar>
            <w:top w:type="dxa" w:w="60"/>
            <w:left w:type="dxa" w:w="100"/>
            <w:bottom w:type="dxa" w:w="60"/>
            <w:right w:type="dxa" w:w="100"/>
          </w:tcMar>
          <w:vAlign w:val="center"/>
        </w:tcPr>
        <w:p>
          <w:r>
            <w:drawing>
              <wp:inline distT="0" distB="0" distL="0" distR="0">
                <wp:extent cx="14287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33400"/>
                        </a:xfrm>
                        <a:prstGeom prst="rect">
                          <a:avLst/>
                        </a:prstGeom>
                      </pic:spPr>
                    </pic:pic>
                  </a:graphicData>
                </a:graphic>
              </wp:inline>
            </w:drawing>
          </w:r>
        </w:p>
      </w:tc>
      <w:tc>
        <w:tcPr>
          <w:tcW w:type="dxa" w:w="6660"/>
          <w:tcMar>
            <w:top w:type="dxa" w:w="0"/>
            <w:left w:type="dxa" w:w="100"/>
            <w:bottom w:type="dxa" w:w="0"/>
            <w:right w:type="dxa" w:w="100"/>
          </w:tcMar>
          <w:vAlign w:val="center"/>
        </w:tcPr>
        <w:p>
          <w:pPr>
            <w:spacing w:after="20"/>
            <w:jc w:val="right"/>
          </w:pPr>
          <w:r>
            <w:rPr>
              <w:rFonts w:ascii="Calibri" w:cs="Calibri" w:eastAsia="Calibri" w:hAnsi="Calibri"/>
              <w:b/>
              <w:bCs/>
              <w:color w:val="1C2B39"/>
              <w:sz w:val="24"/>
              <w:szCs w:val="24"/>
            </w:rPr>
            <w:t xml:space="preserve">Amazon Signage Stick Streaming — Architecture Plan</w:t>
          </w:r>
        </w:p>
        <w:p>
          <w:pPr>
            <w:spacing w:after="0"/>
            <w:jc w:val="right"/>
          </w:pPr>
          <w:r>
            <w:rPr>
              <w:rFonts w:ascii="Calibri" w:cs="Calibri" w:eastAsia="Calibri" w:hAnsi="Calibri"/>
              <w:color w:val="5B6467"/>
              <w:sz w:val="18"/>
              <w:szCs w:val="18"/>
            </w:rPr>
            <w:t xml:space="preserve">Prepared September 19, 2026 · Kevin Heslin</w:t>
          </w:r>
        </w:p>
      </w:tc>
    </w:tr>
  </w:tbl>
  <w:p>
    <w:pPr>
      <w:pBdr>
        <w:bottom w:val="single" w:color="F4762B" w:sz="16" w:space="1"/>
      </w:pBdr>
      <w:spacing w:after="0" w:before="60"/>
    </w:pPr>
  </w:p>
  <w:p>
    <w:pPr>
      <w:spacing w:after="0" w:before="0" w:line="170"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e451d5cc40fad5b09f55a1b7cb973d52e41f7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2026-09-19T15:37:01.616Z</dcterms:created>
  <dcterms:modified xsi:type="dcterms:W3CDTF">2026-09-19T15:37:01.616Z</dcterms:modified>
</cp:coreProperties>
</file>

<file path=docProps/custom.xml><?xml version="1.0" encoding="utf-8"?>
<Properties xmlns="http://schemas.openxmlformats.org/officeDocument/2006/custom-properties" xmlns:vt="http://schemas.openxmlformats.org/officeDocument/2006/docPropsVTypes"/>
</file>