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40" w:lineRule="exact"/>
        <w:ind w:firstLine="643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施工方案及安全风险评估报告审批表</w:t>
      </w:r>
    </w:p>
    <w:p>
      <w:pPr>
        <w:spacing w:line="340" w:lineRule="exact"/>
        <w:ind w:firstLine="643"/>
        <w:jc w:val="center"/>
        <w:rPr>
          <w:rFonts w:ascii="宋体" w:hAnsi="宋体"/>
          <w:b/>
          <w:sz w:val="32"/>
          <w:szCs w:val="32"/>
        </w:rPr>
      </w:pPr>
    </w:p>
    <w:tbl>
      <w:tblPr>
        <w:tblStyle w:val="5"/>
        <w:tblW w:w="99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6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工程名称</w:t>
            </w:r>
          </w:p>
        </w:tc>
        <w:tc>
          <w:tcPr>
            <w:tcW w:w="6857" w:type="dxa"/>
          </w:tcPr>
          <w:p>
            <w:pPr>
              <w:spacing w:line="340" w:lineRule="exact"/>
              <w:rPr>
                <w:rFonts w:ascii="宋体" w:hAnsi="宋体" w:eastAsiaTheme="minorEastAsia"/>
                <w:sz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广东500千伏碧山输变电工程:上寨至珠东北站双回线路开断接入碧山变500千伏线路工程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施工方案名称</w:t>
            </w:r>
          </w:p>
        </w:tc>
        <w:tc>
          <w:tcPr>
            <w:tcW w:w="6857" w:type="dxa"/>
          </w:tcPr>
          <w:p>
            <w:pPr>
              <w:pStyle w:val="2"/>
              <w:spacing w:line="240" w:lineRule="auto"/>
              <w:jc w:val="left"/>
              <w:rPr>
                <w:rFonts w:ascii="宋体" w:hAnsi="宋体" w:eastAsiaTheme="minorEastAsia"/>
                <w:sz w:val="24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BS38-BS39、BZ40-BZ41跨越220kV升越甲线、220kV越闽线停电架线专项施工方案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施工方案实施地点或位置</w:t>
            </w:r>
          </w:p>
        </w:tc>
        <w:tc>
          <w:tcPr>
            <w:tcW w:w="6857" w:type="dxa"/>
          </w:tcPr>
          <w:p>
            <w:pPr>
              <w:spacing w:line="340" w:lineRule="exact"/>
              <w:ind w:firstLine="480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河源市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紫金县义容镇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3" w:type="dxa"/>
            <w:gridSpan w:val="2"/>
          </w:tcPr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施工单位自评结果：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安全风险产生的条件（在非正常情况下）：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施工作业措施不完善    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可能发生的事故：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 w:val="24"/>
              </w:rPr>
              <w:t>1、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触电 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未按照要求验电、挂设接地线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34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single"/>
              </w:rPr>
              <w:t xml:space="preserve"> 高空坠落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高空作业未设置二道防线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single"/>
              </w:rPr>
              <w:t xml:space="preserve">物体打击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未使用绳传递物品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作业风险等级：属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低  </w:t>
            </w:r>
            <w:r>
              <w:rPr>
                <w:rFonts w:hint="eastAsia" w:ascii="宋体" w:hAnsi="宋体"/>
                <w:sz w:val="24"/>
              </w:rPr>
              <w:t xml:space="preserve"> 风险（可接受/低/中/高/特高） 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t>□安全风险涉及电网运行安全     相关单位名称：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安全涉及非电网设施运行安全   相关单位名称：</w:t>
            </w:r>
            <w:r>
              <w:rPr>
                <w:rFonts w:hint="eastAsia"/>
                <w:u w:val="single"/>
              </w:rPr>
              <w:t>中国能源建设集团广东火电工程有限公司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施工单位内部审批意见：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 xml:space="preserve"> 同意施工方案及安全风险自评结果，报监理审批。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不同意施工方案及安全风险自评结果，重新修改和报审。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其他（详细意见记入栏，可附页）：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3" w:type="dxa"/>
            <w:gridSpan w:val="2"/>
          </w:tcPr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监理单位审查结果：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 xml:space="preserve"> 同意施工方案及施工单位自评的安全风险等级。报项目主办部门审批。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不同意施工单位自评的安全风险等级。</w:t>
            </w:r>
          </w:p>
          <w:p>
            <w:pPr>
              <w:spacing w:line="340" w:lineRule="exact"/>
              <w:ind w:firstLine="784" w:firstLineChars="327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应调整为：安全风险等级属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 xml:space="preserve"> 风险。经修改后重新审批后，方可施工。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安全风险涉及电网运行安全，请报送主管单位审批（中、高、特高级）。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安全风险涉及非电网设施运行安全 请报相关单位备案和审批。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其他（详细意见记入栏，可附页）：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4" w:hRule="atLeast"/>
          <w:jc w:val="center"/>
        </w:trPr>
        <w:tc>
          <w:tcPr>
            <w:tcW w:w="9923" w:type="dxa"/>
            <w:gridSpan w:val="2"/>
          </w:tcPr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会签栏：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</w:tc>
      </w:tr>
    </w:tbl>
    <w:p>
      <w:pPr>
        <w:spacing w:line="340" w:lineRule="exact"/>
        <w:ind w:left="-424" w:leftChars="-202" w:right="-340" w:rightChars="-162" w:firstLine="420"/>
        <w:rPr>
          <w:rFonts w:ascii="宋体" w:hAnsi="宋体"/>
          <w:sz w:val="24"/>
        </w:rPr>
      </w:pPr>
      <w:r>
        <w:rPr>
          <w:rFonts w:hint="eastAsia" w:ascii="宋体" w:hAnsi="宋体"/>
        </w:rPr>
        <w:t>注：1、县局主网项目：</w:t>
      </w:r>
      <w:r>
        <w:rPr>
          <w:rFonts w:hint="eastAsia" w:ascii="宋体" w:hAnsi="宋体"/>
          <w:sz w:val="24"/>
        </w:rPr>
        <w:t>中风险及以下的施工由县区局审批。高风险的一次设备施工由市局设备部、安监部共同批准，高风险的二次设备施工由市局系统部、安监部共同批准。特高风险的施工由市局分管领导批准。县局涉及通信及继保设备施工经市局系统部会签后方可执行。</w:t>
      </w:r>
    </w:p>
    <w:p>
      <w:pPr>
        <w:numPr>
          <w:ilvl w:val="0"/>
          <w:numId w:val="2"/>
        </w:numPr>
        <w:spacing w:line="340" w:lineRule="exact"/>
        <w:ind w:left="-424" w:leftChars="-202" w:right="-340" w:rightChars="-16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市局主网项目：可接受风险及以下施工由项目实施单位批准。中、高风险的一次设备施工由设备部、安监部共同批准。中、高风险的二次设备施工由系统部、安监部共同批准。特高风险的施工由分管领导批准。</w:t>
      </w:r>
    </w:p>
    <w:p>
      <w:pPr>
        <w:numPr>
          <w:ilvl w:val="0"/>
          <w:numId w:val="2"/>
        </w:numPr>
        <w:spacing w:line="340" w:lineRule="exact"/>
        <w:ind w:left="-424" w:leftChars="-202" w:right="-340" w:rightChars="-16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各对应风险审批权限人员均需在会签栏进行会签。</w:t>
      </w:r>
    </w:p>
    <w:sectPr>
      <w:pgSz w:w="11906" w:h="16838"/>
      <w:pgMar w:top="1440" w:right="1800" w:bottom="1134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5ED623"/>
    <w:multiLevelType w:val="singleLevel"/>
    <w:tmpl w:val="545ED623"/>
    <w:lvl w:ilvl="0" w:tentative="0">
      <w:start w:val="2"/>
      <w:numFmt w:val="decimal"/>
      <w:suff w:val="space"/>
      <w:lvlText w:val="%1、"/>
      <w:lvlJc w:val="left"/>
      <w:pPr>
        <w:ind w:left="2880" w:firstLine="0"/>
      </w:pPr>
    </w:lvl>
  </w:abstractNum>
  <w:abstractNum w:abstractNumId="1">
    <w:nsid w:val="57270DF4"/>
    <w:multiLevelType w:val="singleLevel"/>
    <w:tmpl w:val="57270DF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00BF722D"/>
    <w:rsid w:val="000410B6"/>
    <w:rsid w:val="000D4702"/>
    <w:rsid w:val="00124885"/>
    <w:rsid w:val="00135043"/>
    <w:rsid w:val="00170BC1"/>
    <w:rsid w:val="00372A61"/>
    <w:rsid w:val="003A1188"/>
    <w:rsid w:val="0053269B"/>
    <w:rsid w:val="006C3517"/>
    <w:rsid w:val="00712133"/>
    <w:rsid w:val="007C1A8B"/>
    <w:rsid w:val="00892500"/>
    <w:rsid w:val="008A1084"/>
    <w:rsid w:val="008E1CFE"/>
    <w:rsid w:val="00921399"/>
    <w:rsid w:val="00A43116"/>
    <w:rsid w:val="00A97589"/>
    <w:rsid w:val="00B76DB9"/>
    <w:rsid w:val="00BF722D"/>
    <w:rsid w:val="00C077F9"/>
    <w:rsid w:val="00C1567E"/>
    <w:rsid w:val="00CB2B97"/>
    <w:rsid w:val="00D1241B"/>
    <w:rsid w:val="00D128E8"/>
    <w:rsid w:val="00DD7164"/>
    <w:rsid w:val="037E0494"/>
    <w:rsid w:val="09A52A7C"/>
    <w:rsid w:val="154400C5"/>
    <w:rsid w:val="1B43572B"/>
    <w:rsid w:val="25A357FB"/>
    <w:rsid w:val="2A173CC8"/>
    <w:rsid w:val="2E21413D"/>
    <w:rsid w:val="3B02664A"/>
    <w:rsid w:val="3CB307E5"/>
    <w:rsid w:val="4C225090"/>
    <w:rsid w:val="58956A36"/>
    <w:rsid w:val="5A0618F0"/>
    <w:rsid w:val="5D3815DE"/>
    <w:rsid w:val="5D403512"/>
    <w:rsid w:val="5DAC48EC"/>
    <w:rsid w:val="60C63EA5"/>
    <w:rsid w:val="6B5C2221"/>
    <w:rsid w:val="71EE67CF"/>
    <w:rsid w:val="7907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autoRedefine/>
    <w:qFormat/>
    <w:uiPriority w:val="0"/>
    <w:pPr>
      <w:spacing w:after="120"/>
    </w:p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autoRedefine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3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153</Words>
  <Characters>875</Characters>
  <Lines>7</Lines>
  <Paragraphs>2</Paragraphs>
  <TotalTime>0</TotalTime>
  <ScaleCrop>false</ScaleCrop>
  <LinksUpToDate>false</LinksUpToDate>
  <CharactersWithSpaces>1026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Clément </cp:lastModifiedBy>
  <cp:lastPrinted>2021-03-13T13:28:00Z</cp:lastPrinted>
  <dcterms:modified xsi:type="dcterms:W3CDTF">2024-04-01T07:05:56Z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F68D19937A4E4AC783A810C4E129CF95_12</vt:lpwstr>
  </property>
</Properties>
</file>