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ascii="黑体" w:hAnsi="黑体" w:eastAsia="黑体" w:cs="黑体"/>
          <w:spacing w:val="9"/>
          <w:sz w:val="24"/>
          <w:szCs w:val="24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tbl>
      <w:tblPr>
        <w:tblStyle w:val="10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工作任务：</w:t>
            </w:r>
          </w:p>
          <w:p>
            <w:pPr>
              <w:spacing w:before="41" w:line="360" w:lineRule="auto"/>
              <w:ind w:left="105" w:firstLine="452" w:firstLineChars="200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广东500千伏碧山输变电工程:上寨至珠东北站双回线路开断接入碧山变500千伏线路工程：</w:t>
            </w:r>
          </w:p>
          <w:p>
            <w:pPr>
              <w:spacing w:before="41" w:line="360" w:lineRule="auto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第一阶段：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1、停电后，在500kV上渡甲线、500kV上渡乙线N50塔及N53塔验电、挂接地；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2、组立新建BS61塔、BZ63塔；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3、完成500kV上渡甲线、500kV上渡乙线N51塔-BS61塔-BZ63塔-500kV上渡甲线、500kV上渡乙线N52塔临时过渡段改造架线施工；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4、调整500kV上渡甲线、500kV上渡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线BS61塔-N51塔，BZ63塔-N62塔段弧垂。</w:t>
            </w:r>
          </w:p>
          <w:p>
            <w:pPr>
              <w:spacing w:before="41" w:line="360" w:lineRule="auto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第二阶段：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1、拆除BS61塔-BZ63塔段临时过渡段导线；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2、完成500kV上渡甲线、500kV上渡乙线N51塔-BS61塔-BS60塔段光缆架设施工，完成500kV上渡甲线、500kV上渡乙线N52塔-BZ63塔-BZ62塔段光缆架设施工（需开断原500kV上渡甲线、500kV上渡乙线光缆）；完成BS61塔-BS60塔、BZ63塔-BZ62塔段导地线架设施工，施工完成后形成500kV上凤甲乙线和500kV凤渡甲乙线；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3、新建BS61塔、BS60塔光缆熔接、接头盒制作；</w:t>
            </w:r>
          </w:p>
          <w:p>
            <w:pPr>
              <w:spacing w:before="41" w:line="360" w:lineRule="auto"/>
              <w:ind w:left="517" w:leftChars="200" w:hanging="97" w:hangingChars="43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4、完成解口后形成的500kV上凤甲乙线、500kV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凤渡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甲乙线核相、绝缘及参数测试。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1"/>
                <w:szCs w:val="21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地段：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48塔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塔、500kV上渡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48塔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设备运维单位：</w:t>
            </w:r>
            <w:r>
              <w:rPr>
                <w:rFonts w:hint="eastAsia" w:ascii="宋体" w:hAnsi="宋体" w:cs="宋体"/>
                <w:sz w:val="21"/>
                <w:szCs w:val="21"/>
              </w:rPr>
              <w:t>输电线路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sz w:val="21"/>
                <w:szCs w:val="21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包商或作业施工单位：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 w:val="21"/>
                <w:szCs w:val="21"/>
              </w:rPr>
              <w:t>广东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业应采取的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5"/>
              <w:spacing w:line="36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需要停电的范围：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500kV上渡甲线、500kV上渡</w:t>
            </w:r>
            <w:r>
              <w:rPr>
                <w:rFonts w:hint="eastAsia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：</w:t>
            </w:r>
          </w:p>
          <w:p>
            <w:pPr>
              <w:spacing w:before="41" w:line="360" w:lineRule="auto"/>
              <w:ind w:left="105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48塔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62塔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大号侧；</w:t>
            </w:r>
          </w:p>
          <w:p>
            <w:pPr>
              <w:spacing w:before="41" w:line="360" w:lineRule="auto"/>
              <w:ind w:left="105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48塔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62塔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其他安全措施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及注意事项</w:t>
            </w:r>
            <w:r>
              <w:rPr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1"/>
              </w:num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本次工作地段，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同塔架设、相互平行，工作期间，上述两回线路同时停电，登塔前应核对线路名称和线路杆号与工作票相符；</w:t>
            </w:r>
          </w:p>
          <w:p>
            <w:pPr>
              <w:numPr>
                <w:ilvl w:val="0"/>
                <w:numId w:val="1"/>
              </w:num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本次工作地段，新建BS61、BZ63塔位于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51塔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51塔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线行正下方。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3、为防止感应电，必要时在工作地点加挂个人保安线；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4、作业人员验电接地前携带的工器具、材料等与导线最小距离500kV：&gt;5米；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5、在风力大于5级（风速大于10.7m/s）的大风以及雷雨天气时禁止登塔作业；</w:t>
            </w:r>
          </w:p>
          <w:p>
            <w:pPr>
              <w:spacing w:before="41" w:line="360" w:lineRule="auto"/>
              <w:ind w:left="106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6、严格遵守“十个规定动作”，严格按照施工方案施工；严禁山上使用明火、抽烟等。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6"/>
                <w:sz w:val="21"/>
                <w:szCs w:val="21"/>
              </w:rPr>
              <w:t>*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1"/>
                <w:szCs w:val="21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1"/>
                <w:szCs w:val="21"/>
              </w:rPr>
              <w:t>近线路：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无。</w:t>
            </w:r>
          </w:p>
          <w:p>
            <w:pPr>
              <w:pStyle w:val="5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5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交叉跨越：</w:t>
            </w:r>
          </w:p>
          <w:p>
            <w:pPr>
              <w:spacing w:before="41" w:line="360" w:lineRule="auto"/>
              <w:ind w:left="106"/>
              <w:rPr>
                <w:rFonts w:hint="default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本次工作地段，新建BS61、BZ63塔位于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51塔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51塔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线行正下方，工作期间，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500kV上渡甲线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500kV上渡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停电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工作负责人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：范现彪 15119960833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工作负责人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：张伯资 13076170957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1"/>
                <w:szCs w:val="21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pacing w:val="6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察单位：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中国能源建设集团广东火电工程有限公司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察时间：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察负责人：</w:t>
            </w: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范现彪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：</w:t>
            </w: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范现彪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察人员：</w:t>
            </w:r>
            <w:r>
              <w:rPr>
                <w:rFonts w:hint="eastAsia" w:ascii="宋体" w:hAnsi="宋体" w:cs="宋体"/>
                <w:spacing w:val="6"/>
                <w:sz w:val="21"/>
                <w:szCs w:val="21"/>
                <w:lang w:val="en-US" w:eastAsia="zh-CN"/>
              </w:rPr>
              <w:t>范现彪、张伯资、骆东财、李植超、杨柳辉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  <w:rPr>
          <w:rFonts w:hint="eastAsia"/>
          <w:lang w:val="en-US" w:eastAsia="zh-CN"/>
        </w:rPr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8CB75CD"/>
    <w:multiLevelType w:val="singleLevel"/>
    <w:tmpl w:val="B8CB75C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F6F3109"/>
    <w:rsid w:val="1FB002DD"/>
    <w:rsid w:val="21472B22"/>
    <w:rsid w:val="217876AF"/>
    <w:rsid w:val="22D45C22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317A7FD8"/>
    <w:rsid w:val="33DD4A44"/>
    <w:rsid w:val="33E96F6B"/>
    <w:rsid w:val="36DF0D86"/>
    <w:rsid w:val="390641AB"/>
    <w:rsid w:val="39522858"/>
    <w:rsid w:val="3A3B5F49"/>
    <w:rsid w:val="404A628A"/>
    <w:rsid w:val="41134F9F"/>
    <w:rsid w:val="41953CBD"/>
    <w:rsid w:val="420118FC"/>
    <w:rsid w:val="42320D80"/>
    <w:rsid w:val="42E51B5A"/>
    <w:rsid w:val="431C2E33"/>
    <w:rsid w:val="43A756FF"/>
    <w:rsid w:val="44D32A03"/>
    <w:rsid w:val="499F6973"/>
    <w:rsid w:val="4B1F648B"/>
    <w:rsid w:val="4B943B5C"/>
    <w:rsid w:val="4CD9638C"/>
    <w:rsid w:val="4CDB6171"/>
    <w:rsid w:val="50F275EC"/>
    <w:rsid w:val="512340A9"/>
    <w:rsid w:val="51DB1BB3"/>
    <w:rsid w:val="5280050A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74806DB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15959C9"/>
    <w:rsid w:val="715A152F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outlineLvl w:val="1"/>
    </w:pPr>
    <w:rPr>
      <w:b/>
      <w:bCs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4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4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5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6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10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205</Words>
  <Characters>1171</Characters>
  <Lines>9</Lines>
  <Paragraphs>2</Paragraphs>
  <TotalTime>0</TotalTime>
  <ScaleCrop>false</ScaleCrop>
  <LinksUpToDate>false</LinksUpToDate>
  <CharactersWithSpaces>1374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SUNG</cp:lastModifiedBy>
  <cp:lastPrinted>2024-01-17T06:15:00Z</cp:lastPrinted>
  <dcterms:modified xsi:type="dcterms:W3CDTF">2024-04-18T12:10:04Z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89B1DE6B06BD44E8B1BCFE2B5E78F6E6_12</vt:lpwstr>
  </property>
</Properties>
</file>