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黑体" w:hAnsi="黑体" w:eastAsia="黑体" w:cs="黑体"/>
          <w:spacing w:val="12"/>
          <w:sz w:val="24"/>
          <w:szCs w:val="24"/>
        </w:rPr>
        <w:t>现</w:t>
      </w:r>
      <w:r>
        <w:rPr>
          <w:rFonts w:ascii="黑体" w:hAnsi="黑体" w:eastAsia="黑体" w:cs="黑体"/>
          <w:spacing w:val="9"/>
          <w:sz w:val="24"/>
          <w:szCs w:val="24"/>
        </w:rPr>
        <w:t>场勘察及安全技术交底记录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1"/>
        <w:gridCol w:w="3411"/>
        <w:gridCol w:w="44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0" w:type="auto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111" w:firstLineChars="50"/>
              <w:textAlignment w:val="baseline"/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工作任务：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500kV承渡甲线检修：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1、500kV承渡甲线N18耐张塔B相大号侧悬垂串绝缘子自爆一片（U100BP/146D）需要更换玻璃绝缘子，绝缘子整串重量885.1kg，金具重量为456.3kg；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2、500kV承渡甲线N34耐张塔A相（左相）大号侧跳线玻璃绝缘子自爆1片（U100BP/146D）需要更换玻璃绝缘子，绝缘子整串重量885.1kg，金具重量为456.3kg；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3、500kV承渡甲线N34耐张塔C相（右相）大号侧玻璃绝缘子自爆1片（U550B）需要更换玻璃绝缘子，绝缘子整串重量885.1kg，金具重量为456.3kg；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4、500kV承渡甲线N54直线塔A相自爆玻璃绝缘子1片（U420B）需要更换玻璃绝缘子，绝缘子整串重量885.1kg，金具重量为456.3kg；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5、500kV承渡甲线N18耐张塔B相大号侧悬垂串绝缘子自爆一片（U100BP/146D）需要更换玻璃绝缘子，绝缘子整串重量885.1kg，金具重量为456.3kg；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6、N1塔左相小号侧开口销缺失侧开口销缺失需要补装开口销；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7、N45塔C相（中相）大号侧挂点金具螺栓开口销缺失需要补装开口销；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8、N64塔中相挂点金具螺栓开口销缺失需要补装开口销；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9、N72塔C相（中相）小号侧导线侧金具螺栓开口销缺失需要补装开口销；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10、基础回填土：N55塔基础水土流失需要充型复绿并做简易排水沟；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11、做保护帽：N40塔塔腿固定螺栓外露需要重新制作保护帽。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111" w:firstLineChars="50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工作地点/地段：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500kV承渡甲线N1-N72塔。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2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eastAsia="zh-CN"/>
              </w:rPr>
              <w:t>输电线路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eastAsia="zh-CN"/>
              </w:rPr>
              <w:t>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6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eastAsia="zh-CN"/>
              </w:rPr>
              <w:t>中国能源建设集团广东火电工程有限公司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0" w:type="auto"/>
            <w:gridSpan w:val="2"/>
            <w:vAlign w:val="top"/>
          </w:tcPr>
          <w:p>
            <w:pPr>
              <w:spacing w:before="40" w:line="232" w:lineRule="auto"/>
              <w:ind w:left="11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需要停电的范围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：500kV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承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>渡甲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线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top"/>
          </w:tcPr>
          <w:p>
            <w:pPr>
              <w:spacing w:before="41" w:line="240" w:lineRule="auto"/>
              <w:ind w:left="105"/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240" w:lineRule="auto"/>
              <w:ind w:left="105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500kV承渡甲线N1塔小号侧A、B、C相和500kV承渡甲线N73塔大号侧A、B、C相。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top"/>
          </w:tcPr>
          <w:p>
            <w:pPr>
              <w:spacing w:before="41" w:line="232" w:lineRule="auto"/>
              <w:ind w:left="106"/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其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他安全措施：</w:t>
            </w:r>
          </w:p>
          <w:p>
            <w:pPr>
              <w:numPr>
                <w:ilvl w:val="0"/>
                <w:numId w:val="1"/>
              </w:numPr>
              <w:snapToGrid w:val="0"/>
              <w:spacing w:line="240" w:lineRule="auto"/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为防止感应电压伤人，工作地点应加挂个人保安线；</w:t>
            </w:r>
          </w:p>
          <w:p>
            <w:pPr>
              <w:numPr>
                <w:ilvl w:val="0"/>
                <w:numId w:val="1"/>
              </w:numPr>
              <w:snapToGrid w:val="0"/>
              <w:spacing w:line="240" w:lineRule="auto"/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工作人员与500kV承渡甲线所涉及跨越的10kV电力线路保持＞1米。</w:t>
            </w:r>
          </w:p>
          <w:p>
            <w:pPr>
              <w:numPr>
                <w:ilvl w:val="0"/>
                <w:numId w:val="1"/>
              </w:numPr>
              <w:snapToGrid w:val="0"/>
              <w:spacing w:line="240" w:lineRule="auto"/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作业人员验电接地前携带的工器具、材料等与导线最小距离500kV：&gt;5米；</w:t>
            </w:r>
          </w:p>
          <w:p>
            <w:pPr>
              <w:numPr>
                <w:ilvl w:val="0"/>
                <w:numId w:val="1"/>
              </w:numPr>
              <w:snapToGrid w:val="0"/>
              <w:spacing w:line="240" w:lineRule="auto"/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在风力大于5级（风速大于10.7m/s）的大风以及雷雨天气时禁止登塔作业；</w:t>
            </w:r>
          </w:p>
          <w:p>
            <w:pPr>
              <w:numPr>
                <w:ilvl w:val="0"/>
                <w:numId w:val="1"/>
              </w:numPr>
              <w:snapToGrid w:val="0"/>
              <w:spacing w:line="240" w:lineRule="auto"/>
              <w:ind w:firstLine="210" w:firstLineChars="1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严格遵守“十个规定动作”，严格按照施工方案施工；严禁山上使用明火、抽烟等。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*注意事项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4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3" w:firstLineChars="50"/>
              <w:jc w:val="both"/>
              <w:textAlignment w:val="base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邻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3" w:firstLineChars="50"/>
              <w:jc w:val="both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叉跨越：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1、500kV承渡甲线N14-N15跨越10kV洋头线丹竹坳支线白文村分支线#1-#6杆、10kV洋头线丹竹坳支线琴南麻布障分支线#5-#7杆及县道X003；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2、500kV承渡甲线N18-N19跨越10kV洋头线709下寨子电站支线#18-#19杆及10kV洋头线丹竹坳支线雷公窝分支线#15-#15+1；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3、500kV承渡甲线N19-N20跨越10kV洋头线709干线#59-#61杆、10kV水墩线703丰窝子分支线#22-#23、10kV慎田线705龙洋电站支线#11-#13及县道X003；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4、500kV承渡甲线N31-N32跨越10kV洋头线709干线#56+1-#57杆及10kV慎田线705龙洋电站支线#7-#9杆；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5、500kV承渡甲线N32-N33跨越10kV水墩线703丰窝子分支线#14-#16杆及县道X003；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6、500kV承渡甲线N44-N45跨越10kV慎田线705干线#53-#55杆、10kV洋头线709干线#31-#32杆及国道G236；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7、500kV承渡甲线N49-N50跨越10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kV桂山线大塘支线竹径分支线#14+1-#15杆；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8、500kV承渡甲线N56-N57跨越10kV桂山线大塘支线竹径分支线#14+1-#15杆；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9、500kV承渡甲线N15-N16跨越10kV桂山线干线#55-#57杆；</w:t>
            </w:r>
          </w:p>
          <w:p>
            <w:pPr>
              <w:pStyle w:val="2"/>
              <w:bidi w:val="0"/>
              <w:spacing w:line="240" w:lineRule="auto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9"/>
                <w:kern w:val="0"/>
                <w:sz w:val="21"/>
                <w:szCs w:val="21"/>
                <w:lang w:val="en-US" w:eastAsia="zh-CN"/>
              </w:rPr>
              <w:t>10、500kV承渡甲线N74-N75跨越10kV九树线701洪田支线#9-#10杆及10kV九树线701沥背发电站分支线#2-#3杆。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4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地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下管线设施：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eastAsia="zh-CN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3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对施工人员的要求：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必须严格执行“十个规定动作”的相关要求。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3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工器具必须具有合格证及检验合格证书，不符合要求的工器具严禁入场使用，受力工器具严禁超负荷使用。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21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施工时严禁随处乱扔施工垃圾，施工完毕后须组织人员清理或掩埋施工垃圾。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21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施工前，必须等待输电运行人员通知许可后，才可作业。施工完毕后，确认现场无遗留物、人员全部撤离后，才能通知输电运行人员结束工作票。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119" w:firstLineChars="5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eastAsia="zh-CN"/>
              </w:rPr>
              <w:t>因500kV承吉乙线施工地点涉及绝缘地线，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故在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eastAsia="zh-CN"/>
              </w:rPr>
              <w:t>作业地点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N16塔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eastAsia="zh-CN"/>
              </w:rPr>
              <w:t>前后地线挂10kV接地线各1组。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vAlign w:val="top"/>
          </w:tcPr>
          <w:p>
            <w:pPr>
              <w:spacing w:before="145" w:line="231" w:lineRule="auto"/>
              <w:ind w:left="104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eastAsia="zh-CN"/>
              </w:rPr>
              <w:t>输电线路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eastAsia="zh-CN"/>
              </w:rPr>
              <w:t>班</w:t>
            </w:r>
          </w:p>
        </w:tc>
        <w:tc>
          <w:tcPr>
            <w:tcW w:w="0" w:type="auto"/>
            <w:vAlign w:val="top"/>
          </w:tcPr>
          <w:p>
            <w:pPr>
              <w:spacing w:before="145" w:line="231" w:lineRule="auto"/>
              <w:ind w:left="111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2024年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vAlign w:val="top"/>
          </w:tcPr>
          <w:p>
            <w:pPr>
              <w:spacing w:before="145" w:line="231" w:lineRule="auto"/>
              <w:ind w:left="104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察负责人：</w:t>
            </w:r>
          </w:p>
        </w:tc>
        <w:tc>
          <w:tcPr>
            <w:tcW w:w="0" w:type="auto"/>
            <w:vAlign w:val="top"/>
          </w:tcPr>
          <w:p>
            <w:pPr>
              <w:spacing w:before="145" w:line="233" w:lineRule="auto"/>
              <w:ind w:left="11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vAlign w:val="top"/>
          </w:tcPr>
          <w:p>
            <w:pPr>
              <w:spacing w:before="145" w:line="231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察人员：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" w:hRule="atLeast"/>
        </w:trPr>
        <w:tc>
          <w:tcPr>
            <w:tcW w:w="0" w:type="auto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安全技术交底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是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0" w:type="auto"/>
            <w:vAlign w:val="top"/>
          </w:tcPr>
          <w:p>
            <w:pPr>
              <w:spacing w:before="42" w:line="233" w:lineRule="auto"/>
              <w:ind w:left="108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233" w:lineRule="auto"/>
              <w:ind w:left="108"/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spacing w:before="42" w:line="233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底时间：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" w:hRule="atLeast"/>
        </w:trPr>
        <w:tc>
          <w:tcPr>
            <w:tcW w:w="0" w:type="auto"/>
            <w:vMerge w:val="continue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vAlign w:val="top"/>
          </w:tcPr>
          <w:p>
            <w:pPr>
              <w:spacing w:before="44" w:line="231" w:lineRule="auto"/>
              <w:ind w:left="124"/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  <w:p>
            <w:pPr>
              <w:spacing w:before="44" w:line="231" w:lineRule="auto"/>
              <w:ind w:left="124"/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</w:pPr>
          </w:p>
          <w:p>
            <w:pPr>
              <w:spacing w:before="44" w:line="231" w:lineRule="auto"/>
              <w:ind w:left="124"/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</w:pPr>
          </w:p>
        </w:tc>
        <w:tc>
          <w:tcPr>
            <w:tcW w:w="0" w:type="auto"/>
            <w:vAlign w:val="top"/>
          </w:tcPr>
          <w:p>
            <w:pPr>
              <w:spacing w:before="44" w:line="231" w:lineRule="auto"/>
              <w:ind w:left="12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/>
    <w:sectPr>
      <w:footerReference r:id="rId5" w:type="default"/>
      <w:pgSz w:w="11907" w:h="16840"/>
      <w:pgMar w:top="1134" w:right="1134" w:bottom="1134" w:left="1134" w:header="0" w:footer="83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96" w:lineRule="auto"/>
      <w:ind w:left="125"/>
      <w:rPr>
        <w:rFonts w:ascii="Times New Roman" w:hAnsi="Times New Roman" w:eastAsia="Times New Roman" w:cs="Times New Roman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B10598"/>
    <w:multiLevelType w:val="singleLevel"/>
    <w:tmpl w:val="40B1059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4E856EAF"/>
    <w:rsid w:val="015A68AF"/>
    <w:rsid w:val="06150328"/>
    <w:rsid w:val="0B1D50BA"/>
    <w:rsid w:val="0DDC072B"/>
    <w:rsid w:val="12E2459F"/>
    <w:rsid w:val="15A9236C"/>
    <w:rsid w:val="16AB4B18"/>
    <w:rsid w:val="1D585A75"/>
    <w:rsid w:val="1D5D4818"/>
    <w:rsid w:val="1D750708"/>
    <w:rsid w:val="1EDC2A10"/>
    <w:rsid w:val="208C12FA"/>
    <w:rsid w:val="2363068E"/>
    <w:rsid w:val="237E6335"/>
    <w:rsid w:val="2535691E"/>
    <w:rsid w:val="298436F2"/>
    <w:rsid w:val="2BD06C09"/>
    <w:rsid w:val="2CB60EB1"/>
    <w:rsid w:val="2CB8327E"/>
    <w:rsid w:val="2CC96B6D"/>
    <w:rsid w:val="2D54487B"/>
    <w:rsid w:val="2D60110A"/>
    <w:rsid w:val="2D6B2341"/>
    <w:rsid w:val="2DC9065C"/>
    <w:rsid w:val="31EA3699"/>
    <w:rsid w:val="33D35EA6"/>
    <w:rsid w:val="37CB58FB"/>
    <w:rsid w:val="3885401F"/>
    <w:rsid w:val="38F34EC5"/>
    <w:rsid w:val="3C0B7857"/>
    <w:rsid w:val="4017515E"/>
    <w:rsid w:val="40E8655C"/>
    <w:rsid w:val="41A70892"/>
    <w:rsid w:val="42230C40"/>
    <w:rsid w:val="4243091D"/>
    <w:rsid w:val="42997141"/>
    <w:rsid w:val="44C676EA"/>
    <w:rsid w:val="47D24E70"/>
    <w:rsid w:val="4C2E70FA"/>
    <w:rsid w:val="4D0932C4"/>
    <w:rsid w:val="4D45619A"/>
    <w:rsid w:val="4E856EAF"/>
    <w:rsid w:val="51B55AA3"/>
    <w:rsid w:val="51E57B20"/>
    <w:rsid w:val="52D63838"/>
    <w:rsid w:val="53263C0E"/>
    <w:rsid w:val="59707BA7"/>
    <w:rsid w:val="5A261B69"/>
    <w:rsid w:val="5A702E86"/>
    <w:rsid w:val="5E1A091A"/>
    <w:rsid w:val="623D3F5E"/>
    <w:rsid w:val="62E4160B"/>
    <w:rsid w:val="68E15FD7"/>
    <w:rsid w:val="6D2B4A6C"/>
    <w:rsid w:val="6D8F3017"/>
    <w:rsid w:val="6F2D0E39"/>
    <w:rsid w:val="6F5504A7"/>
    <w:rsid w:val="6FB87735"/>
    <w:rsid w:val="71C33C21"/>
    <w:rsid w:val="72F176A2"/>
    <w:rsid w:val="7BC6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2"/>
    <w:basedOn w:val="1"/>
    <w:next w:val="1"/>
    <w:qFormat/>
    <w:uiPriority w:val="99"/>
    <w:pPr>
      <w:keepNext/>
      <w:keepLines/>
      <w:spacing w:before="20" w:after="20" w:line="560" w:lineRule="exact"/>
      <w:outlineLvl w:val="1"/>
    </w:pPr>
    <w:rPr>
      <w:rFonts w:ascii="Arial" w:hAnsi="Arial" w:eastAsia="楷体"/>
      <w:b/>
      <w:bCs/>
      <w:sz w:val="32"/>
      <w:szCs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样式 首行缩进:  2 字符"/>
    <w:basedOn w:val="1"/>
    <w:autoRedefine/>
    <w:qFormat/>
    <w:uiPriority w:val="0"/>
    <w:pPr>
      <w:widowControl/>
      <w:ind w:firstLine="480"/>
    </w:pPr>
    <w:rPr>
      <w:rFonts w:ascii="Arial" w:hAnsi="Arial" w:eastAsia="宋体" w:cs="Times New Roman"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我的正文"/>
    <w:basedOn w:val="1"/>
    <w:autoRedefine/>
    <w:qFormat/>
    <w:uiPriority w:val="0"/>
    <w:pPr>
      <w:autoSpaceDE w:val="0"/>
      <w:autoSpaceDN w:val="0"/>
      <w:adjustRightInd w:val="0"/>
      <w:spacing w:line="560" w:lineRule="exact"/>
      <w:ind w:firstLine="560" w:firstLineChars="200"/>
      <w:jc w:val="left"/>
    </w:pPr>
    <w:rPr>
      <w:rFonts w:ascii="宋体" w:hAnsi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1239</Words>
  <Characters>1510</Characters>
  <Lines>0</Lines>
  <Paragraphs>0</Paragraphs>
  <TotalTime>2</TotalTime>
  <ScaleCrop>false</ScaleCrop>
  <LinksUpToDate>false</LinksUpToDate>
  <CharactersWithSpaces>1518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2023-05-05T08:32:00Z</dcterms:created>
  <dc:creator>广火阳光</dc:creator>
  <cp:lastModifiedBy>Clément </cp:lastModifiedBy>
  <cp:lastPrinted>2024-04-06T07:32:21Z</cp:lastPrinted>
  <dcterms:modified xsi:type="dcterms:W3CDTF">2024-04-07T01:52:57Z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59C45813AD614FA3B0E4CD2ADCF61DBD_13</vt:lpwstr>
  </property>
</Properties>
</file>