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 年第三季度产品报告</w:t>
      </w:r>
    </w:p>
    <w:p>
      <w:r>
        <w:t xml:space="preserve">本季度 </w:t>
      </w:r>
      <w:r>
        <w:rPr>
          <w:b/>
        </w:rPr>
        <w:t>活跃用户增长 24%</w:t>
      </w:r>
      <w:r>
        <w:t>，团队版转化率提升 6 个百分点。</w:t>
      </w:r>
    </w:p>
    <w:p>
      <w:pPr>
        <w:pStyle w:val="Heading2"/>
      </w:pPr>
      <w:r>
        <w:t>核心进展</w:t>
      </w:r>
    </w:p>
    <w:p>
      <w:pPr>
        <w:pStyle w:val="ListBullet"/>
      </w:pPr>
      <w:r>
        <w:t>插件市场完成签名校验与增量更新，平均安装时间缩短到 3 秒。</w:t>
      </w:r>
    </w:p>
    <w:p>
      <w:pPr>
        <w:pStyle w:val="ListBullet"/>
      </w:pPr>
      <w:r>
        <w:t>Office 预览、SQLite 查看器进入官方插件列表。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预算</w:t>
            </w:r>
          </w:p>
        </w:tc>
        <w:tc>
          <w:tcPr>
            <w:tcW w:type="dxa" w:w="2880"/>
          </w:tcPr>
          <w:p>
            <w:r>
              <w:t>实际</w:t>
            </w:r>
          </w:p>
        </w:tc>
      </w:tr>
      <w:tr>
        <w:tc>
          <w:tcPr>
            <w:tcW w:type="dxa" w:w="2880"/>
          </w:tcPr>
          <w:p>
            <w:r>
              <w:t>研发</w:t>
            </w:r>
          </w:p>
        </w:tc>
        <w:tc>
          <w:tcPr>
            <w:tcW w:type="dxa" w:w="2880"/>
          </w:tcPr>
          <w:p>
            <w:r>
              <w:t>1,200,000</w:t>
            </w:r>
          </w:p>
        </w:tc>
        <w:tc>
          <w:tcPr>
            <w:tcW w:type="dxa" w:w="2880"/>
          </w:tcPr>
          <w:p>
            <w:r>
              <w:t>1,180,000</w:t>
            </w:r>
          </w:p>
        </w:tc>
      </w:tr>
      <w:tr>
        <w:tc>
          <w:tcPr>
            <w:tcW w:type="dxa" w:w="2880"/>
          </w:tcPr>
          <w:p>
            <w:r>
              <w:t>市场</w:t>
            </w:r>
          </w:p>
        </w:tc>
        <w:tc>
          <w:tcPr>
            <w:tcW w:type="dxa" w:w="2880"/>
          </w:tcPr>
          <w:p>
            <w:r>
              <w:t>450,000</w:t>
            </w:r>
          </w:p>
        </w:tc>
        <w:tc>
          <w:tcPr>
            <w:tcW w:type="dxa" w:w="2880"/>
          </w:tcPr>
          <w:p>
            <w:r>
              <w:t>470,000</w:t>
            </w:r>
          </w:p>
        </w:tc>
      </w:tr>
    </w:tbl>
    <w:p>
      <w:pPr>
        <w:pStyle w:val="Heading2"/>
      </w:pPr>
      <w:r>
        <w:t>下一步</w:t>
      </w:r>
    </w:p>
    <w:p>
      <w:r>
        <w:t>完善预览与搜索，保持核心轻量。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