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color w:val="1F4E79"/>
          <w:sz w:val="44"/>
        </w:rPr>
        <w:t>AI 驅動之蛋白質功能預測與變體探索平台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8"/>
        </w:rPr>
        <w:t>AI-Driven Protein Discovery Platform</w:t>
      </w:r>
    </w:p>
    <w:p/>
    <w:p>
      <w:pPr>
        <w:spacing w:before="240" w:after="120"/>
      </w:pPr>
      <w:r>
        <w:rPr>
          <w:rFonts w:ascii="微軟正黑體" w:hAnsi="微軟正黑體" w:eastAsia="微軟正黑體"/>
          <w:b/>
          <w:color w:val="1F4E79"/>
          <w:sz w:val="36"/>
        </w:rPr>
        <w:t>一、技術概念（技術來源 &amp; 設計概念）</w:t>
      </w:r>
    </w:p>
    <w:p>
      <w:pPr>
        <w:spacing w:line="360" w:lineRule="auto" w:after="80"/>
        <w:ind w:firstLine="420"/>
      </w:pPr>
      <w:r>
        <w:rPr>
          <w:rFonts w:ascii="微軟正黑體" w:hAnsi="微軟正黑體" w:eastAsia="微軟正黑體"/>
          <w:b w:val="0"/>
          <w:sz w:val="24"/>
        </w:rPr>
        <w:t>本作品為一套整合式「AI 蛋白質功能預測與變體探索平台（AI-Driven Protein Discovery Platform）」，結合深度學習、序列生物資訊學與結構生物學三大領域技術，打造從「序列輸入」到「候選分子推薦」的全自動化研究流程。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2E74B5"/>
          <w:sz w:val="30"/>
        </w:rPr>
        <w:t>1. 技術來源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44546A"/>
          <w:sz w:val="26"/>
        </w:rPr>
        <w:t>(1) 深度學習蛋白質語言模型（Protein Language Models, PLMs）</w:t>
      </w:r>
    </w:p>
    <w:p>
      <w:pPr>
        <w:pStyle w:val="ListBullet"/>
        <w:spacing w:line="336" w:lineRule="auto"/>
      </w:pPr>
      <w:r>
        <w:rPr>
          <w:rFonts w:ascii="微軟正黑體" w:hAnsi="微軟正黑體" w:eastAsia="微軟正黑體"/>
          <w:b w:val="0"/>
          <w:sz w:val="24"/>
        </w:rPr>
        <w:t>採用 Ankh 蛋白質預訓練語言模型萃取高維語意特徵（Embedding），能在不依賴多重序列比對（MSA）的情況下，捕捉胺基酸序列的演化與功能資訊。</w:t>
      </w:r>
    </w:p>
    <w:p>
      <w:pPr>
        <w:pStyle w:val="ListBullet"/>
        <w:spacing w:line="336" w:lineRule="auto"/>
      </w:pPr>
      <w:r>
        <w:rPr>
          <w:rFonts w:ascii="微軟正黑體" w:hAnsi="微軟正黑體" w:eastAsia="微軟正黑體"/>
          <w:b w:val="0"/>
          <w:sz w:val="24"/>
        </w:rPr>
        <w:t>將 Ankh Embedding 作為下游分類模型輸入，訓練自研的功能預測模型，輸出該序列具備目標功能（如神經活性胜肽）的機率分數。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44546A"/>
          <w:sz w:val="26"/>
        </w:rPr>
        <w:t>(2) 結構預測技術</w:t>
      </w:r>
    </w:p>
    <w:p>
      <w:pPr>
        <w:pStyle w:val="ListBullet"/>
        <w:spacing w:line="336" w:lineRule="auto"/>
      </w:pPr>
      <w:r>
        <w:rPr>
          <w:rFonts w:ascii="微軟正黑體" w:hAnsi="微軟正黑體" w:eastAsia="微軟正黑體"/>
          <w:b w:val="0"/>
          <w:sz w:val="24"/>
        </w:rPr>
        <w:t>整合 Meta AI 的 ESMFold API，以端對端方式由序列直接預測 3D 結構（PDB 格式），取代傳統需耗時數小時的 AlphaFold 流程，大幅縮短結構驗證時間。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44546A"/>
          <w:sz w:val="26"/>
        </w:rPr>
        <w:t>(3) 序列去冗餘與新穎性篩選</w:t>
      </w:r>
    </w:p>
    <w:p>
      <w:pPr>
        <w:pStyle w:val="ListBullet"/>
        <w:spacing w:line="336" w:lineRule="auto"/>
      </w:pPr>
      <w:r>
        <w:rPr>
          <w:rFonts w:ascii="微軟正黑體" w:hAnsi="微軟正黑體" w:eastAsia="微軟正黑體"/>
          <w:b w:val="0"/>
          <w:sz w:val="24"/>
        </w:rPr>
        <w:t>CD-HIT：用於內部去冗餘，確保生成變體具多樣性。</w:t>
      </w:r>
    </w:p>
    <w:p>
      <w:pPr>
        <w:pStyle w:val="ListBullet"/>
        <w:spacing w:line="336" w:lineRule="auto"/>
      </w:pPr>
      <w:r>
        <w:rPr>
          <w:rFonts w:ascii="微軟正黑體" w:hAnsi="微軟正黑體" w:eastAsia="微軟正黑體"/>
          <w:b w:val="0"/>
          <w:sz w:val="24"/>
        </w:rPr>
        <w:t>CD-HIT-2D：與已知資料庫（cdhitusing.fasta）交叉比對，剔除與現有專利或文獻序列過度相似的分子，確保候選序列具「新穎性（Novelty）」。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44546A"/>
          <w:sz w:val="26"/>
        </w:rPr>
        <w:t>(4) 理化性質分析</w:t>
      </w:r>
    </w:p>
    <w:p>
      <w:pPr>
        <w:pStyle w:val="ListBullet"/>
        <w:spacing w:line="336" w:lineRule="auto"/>
      </w:pPr>
      <w:r>
        <w:rPr>
          <w:rFonts w:ascii="微軟正黑體" w:hAnsi="微軟正黑體" w:eastAsia="微軟正黑體"/>
          <w:b w:val="0"/>
          <w:sz w:val="24"/>
        </w:rPr>
        <w:t>使用 Biopython ProtParam 模組計算分子量（MW）、等電點（pI），並產出 Kyte-Doolittle 疏水性輪廓圖，評估候選胜肽的藥學性質（Druggability）。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44546A"/>
          <w:sz w:val="26"/>
        </w:rPr>
        <w:t>(5) 後端服務架構</w:t>
      </w:r>
    </w:p>
    <w:p>
      <w:pPr>
        <w:pStyle w:val="ListBullet"/>
        <w:spacing w:line="336" w:lineRule="auto"/>
      </w:pPr>
      <w:r>
        <w:rPr>
          <w:rFonts w:ascii="微軟正黑體" w:hAnsi="微軟正黑體" w:eastAsia="微軟正黑體"/>
          <w:b w:val="0"/>
          <w:sz w:val="24"/>
        </w:rPr>
        <w:t>採用 FastAPI + Uvicorn 建構高效能非同步 API Server，支援 CORS 跨域與 Ollama LLM Proxy，具備良好擴展性，可無縫串接前端網頁或第三方 Agent 系統。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2E74B5"/>
          <w:sz w:val="30"/>
        </w:rPr>
        <w:t>2. 設計概念</w:t>
      </w:r>
    </w:p>
    <w:p>
      <w:pPr>
        <w:spacing w:line="360" w:lineRule="auto" w:after="80"/>
        <w:ind w:firstLine="420"/>
      </w:pPr>
      <w:r>
        <w:rPr>
          <w:rFonts w:ascii="微軟正黑體" w:hAnsi="微軟正黑體" w:eastAsia="微軟正黑體"/>
          <w:b w:val="0"/>
          <w:sz w:val="24"/>
        </w:rPr>
        <w:t>本系統以「Dry Lab 取代 Wet Lab 初篩」為核心思想，設計出三層漸進式篩選架構：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階段</w:t>
            </w:r>
          </w:p>
        </w:tc>
        <w:tc>
          <w:tcPr>
            <w:tcW w:type="dxa" w:w="31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任務</w:t>
            </w:r>
          </w:p>
        </w:tc>
        <w:tc>
          <w:tcPr>
            <w:tcW w:type="dxa" w:w="31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核心技術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第一層：生成（Generation）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基於種子序列隨機突變產生候選變體池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定向演化模擬（In Silico Directed Evolution）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第二層：篩選（Filtering）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雙重 CD-HIT 去冗餘 + 新穎性過濾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CD-HIT / CD-HIT-2D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第三層：評估（Evaluation）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AI 功能預測 + 結構預測 + 理化分析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Ankh + 自研模型 + ESMFold + ProtParam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微軟正黑體" w:hAnsi="微軟正黑體" w:eastAsia="微軟正黑體"/>
          <w:b w:val="0"/>
          <w:sz w:val="24"/>
        </w:rPr>
        <w:t>透過 /auto_research_pipeline API 將上述流程「一鍵串接」，使研究人員只需輸入一條種子序列，系統即可自動產出「最具潛力的 Top-N 候選分子」及其完整性質報告，實踐 AI for Science 的研究加速理念。</w:t>
      </w:r>
    </w:p>
    <w:p>
      <w:r>
        <w:br w:type="page"/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1F4E79"/>
          <w:sz w:val="36"/>
        </w:rPr>
        <w:t>二、欲實踐場域 / 應用場域</w:t>
      </w:r>
    </w:p>
    <w:p>
      <w:pPr>
        <w:spacing w:line="360" w:lineRule="auto" w:after="80"/>
        <w:ind w:firstLine="420"/>
      </w:pPr>
      <w:r>
        <w:rPr>
          <w:rFonts w:ascii="微軟正黑體" w:hAnsi="微軟正黑體" w:eastAsia="微軟正黑體"/>
          <w:b w:val="0"/>
          <w:sz w:val="24"/>
        </w:rPr>
        <w:t>本系統具高度通用性，可依訓練資料集調整目標功能，應用於多元生技研發場域：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2E74B5"/>
          <w:sz w:val="30"/>
        </w:rPr>
        <w:t>1. 主要應用場域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44546A"/>
          <w:sz w:val="26"/>
        </w:rPr>
        <w:t>(1) 神經活性胜肽（Neuroactive Peptide）開發</w:t>
      </w:r>
    </w:p>
    <w:p>
      <w:pPr>
        <w:spacing w:line="360" w:lineRule="auto" w:after="80"/>
        <w:ind w:firstLine="420"/>
      </w:pPr>
      <w:r>
        <w:rPr>
          <w:rFonts w:ascii="微軟正黑體" w:hAnsi="微軟正黑體" w:eastAsia="微軟正黑體"/>
          <w:b w:val="0"/>
          <w:sz w:val="24"/>
        </w:rPr>
        <w:t>以神經調節、鎮痛、抗憂鬱、促認知等功能胜肽為目標，輔助新型腦神經藥物之先導化合物（Lead Compound）探索。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44546A"/>
          <w:sz w:val="26"/>
        </w:rPr>
        <w:t>(2) 抗菌胜肽（AMP）與抗病毒胜肽研發</w:t>
      </w:r>
    </w:p>
    <w:p>
      <w:pPr>
        <w:spacing w:line="360" w:lineRule="auto" w:after="80"/>
        <w:ind w:firstLine="420"/>
      </w:pPr>
      <w:r>
        <w:rPr>
          <w:rFonts w:ascii="微軟正黑體" w:hAnsi="微軟正黑體" w:eastAsia="微軟正黑體"/>
          <w:b w:val="0"/>
          <w:sz w:val="24"/>
        </w:rPr>
        <w:t>面對抗生素抗藥性危機，可快速從天然或合成序列中篩選新型抗菌分子，協助對抗超級細菌與新興傳染病。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44546A"/>
          <w:sz w:val="26"/>
        </w:rPr>
        <w:t>(3) 新藥開發與先導化合物設計</w:t>
      </w:r>
    </w:p>
    <w:p>
      <w:pPr>
        <w:spacing w:line="360" w:lineRule="auto" w:after="80"/>
        <w:ind w:firstLine="420"/>
      </w:pPr>
      <w:r>
        <w:rPr>
          <w:rFonts w:ascii="微軟正黑體" w:hAnsi="微軟正黑體" w:eastAsia="微軟正黑體"/>
          <w:b w:val="0"/>
          <w:sz w:val="24"/>
        </w:rPr>
        <w:t>應用於製藥公司早期藥物發現（Drug Discovery），透過 Dry Lab 篩選大幅降低實驗成本與時間，亦可協助老藥新用（Drug Repurposing）或胜肽類藥物優化設計。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44546A"/>
          <w:sz w:val="26"/>
        </w:rPr>
        <w:t>(4) 化妝品與機能性食品原料開發</w:t>
      </w:r>
    </w:p>
    <w:p>
      <w:pPr>
        <w:spacing w:line="360" w:lineRule="auto" w:after="80"/>
        <w:ind w:firstLine="420"/>
      </w:pPr>
      <w:r>
        <w:rPr>
          <w:rFonts w:ascii="微軟正黑體" w:hAnsi="微軟正黑體" w:eastAsia="微軟正黑體"/>
          <w:b w:val="0"/>
          <w:sz w:val="24"/>
        </w:rPr>
        <w:t>可設計抗老化胜肽、美白胜肽、保濕胜肽、膠原蛋白片段等，加速功能性原料的創新設計。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44546A"/>
          <w:sz w:val="26"/>
        </w:rPr>
        <w:t>(5) 農業生技與作物保護</w:t>
      </w:r>
    </w:p>
    <w:p>
      <w:pPr>
        <w:spacing w:line="360" w:lineRule="auto" w:after="80"/>
        <w:ind w:firstLine="420"/>
      </w:pPr>
      <w:r>
        <w:rPr>
          <w:rFonts w:ascii="微軟正黑體" w:hAnsi="微軟正黑體" w:eastAsia="微軟正黑體"/>
          <w:b w:val="0"/>
          <w:sz w:val="24"/>
        </w:rPr>
        <w:t>可設計抗真菌、抗蟲害之植物防禦胜肽（Plant Defensin），發展新型生物農藥。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2E74B5"/>
          <w:sz w:val="30"/>
        </w:rPr>
        <w:t>2. 使用對象（Target Users）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使用族群</w:t>
            </w:r>
          </w:p>
        </w:tc>
        <w:tc>
          <w:tcPr>
            <w:tcW w:type="dxa" w:w="47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應用需求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學術研究機構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加速論文級蛋白質功能研究、生成假設驗證序列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生技新創與製藥公司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降低藥物探索成本、建立專利迴避序列庫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合成生物學實驗室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快速產生可合成驗證的候選分子清單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CRO（委託研究機構）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提供 AI-powered 的序列設計附加服務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跨領域研究者（非生資背景）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微軟正黑體" w:hAnsi="微軟正黑體" w:eastAsia="微軟正黑體"/>
                <w:b w:val="0"/>
                <w:sz w:val="22"/>
              </w:rPr>
              <w:t>透過 Web UI + LLM Agent，無需程式能力即可進行 AI 序列研究</w:t>
            </w:r>
          </w:p>
        </w:tc>
      </w:tr>
    </w:tbl>
    <w:p/>
    <w:p>
      <w:pPr>
        <w:spacing w:before="240" w:after="120"/>
      </w:pPr>
      <w:r>
        <w:rPr>
          <w:rFonts w:ascii="微軟正黑體" w:hAnsi="微軟正黑體" w:eastAsia="微軟正黑體"/>
          <w:b/>
          <w:color w:val="2E74B5"/>
          <w:sz w:val="30"/>
        </w:rPr>
        <w:t>3. 社會價值與永續發展貢獻</w:t>
      </w:r>
    </w:p>
    <w:p>
      <w:pPr>
        <w:spacing w:line="360" w:lineRule="auto" w:after="80"/>
      </w:pPr>
      <w:r>
        <w:rPr>
          <w:rFonts w:ascii="微軟正黑體" w:hAnsi="微軟正黑體" w:eastAsia="微軟正黑體"/>
          <w:b/>
          <w:sz w:val="24"/>
        </w:rPr>
        <w:t>呼應聯合國 SDGs 永續發展目標：</w:t>
      </w:r>
    </w:p>
    <w:p>
      <w:pPr>
        <w:pStyle w:val="ListBullet"/>
        <w:spacing w:line="336" w:lineRule="auto"/>
      </w:pPr>
      <w:r>
        <w:rPr>
          <w:rFonts w:ascii="微軟正黑體" w:hAnsi="微軟正黑體" w:eastAsia="微軟正黑體"/>
          <w:b w:val="0"/>
          <w:sz w:val="24"/>
        </w:rPr>
        <w:t>SDG 3（良好健康與福祉）：加速新藥研發，造福病患。</w:t>
      </w:r>
    </w:p>
    <w:p>
      <w:pPr>
        <w:pStyle w:val="ListBullet"/>
        <w:spacing w:line="336" w:lineRule="auto"/>
      </w:pPr>
      <w:r>
        <w:rPr>
          <w:rFonts w:ascii="微軟正黑體" w:hAnsi="微軟正黑體" w:eastAsia="微軟正黑體"/>
          <w:b w:val="0"/>
          <w:sz w:val="24"/>
        </w:rPr>
        <w:t>SDG 9（產業創新與基礎設施）：推動生技產業 AI 轉型。</w:t>
      </w:r>
    </w:p>
    <w:p>
      <w:pPr>
        <w:pStyle w:val="ListBullet"/>
        <w:spacing w:line="336" w:lineRule="auto"/>
      </w:pPr>
      <w:r>
        <w:rPr>
          <w:rFonts w:ascii="微軟正黑體" w:hAnsi="微軟正黑體" w:eastAsia="微軟正黑體"/>
          <w:b w:val="0"/>
          <w:sz w:val="24"/>
        </w:rPr>
        <w:t>SDG 12（負責任的消費與生產）：Dry Lab 篩選減少實驗動物與化學試劑消耗。</w:t>
      </w:r>
    </w:p>
    <w:p>
      <w:pPr>
        <w:spacing w:line="360" w:lineRule="auto" w:after="80"/>
      </w:pPr>
      <w:r>
        <w:rPr>
          <w:rFonts w:ascii="微軟正黑體" w:hAnsi="微軟正黑體" w:eastAsia="微軟正黑體"/>
          <w:b/>
          <w:sz w:val="24"/>
        </w:rPr>
        <w:t>降低研究門檻：</w:t>
      </w:r>
    </w:p>
    <w:p>
      <w:pPr>
        <w:spacing w:line="360" w:lineRule="auto" w:after="80"/>
        <w:ind w:firstLine="420"/>
      </w:pPr>
      <w:r>
        <w:rPr>
          <w:rFonts w:ascii="微軟正黑體" w:hAnsi="微軟正黑體" w:eastAsia="微軟正黑體"/>
          <w:b w:val="0"/>
          <w:sz w:val="24"/>
        </w:rPr>
        <w:t>讓中小型實驗室、大學生也能使用國際級 AI 工具進行蛋白質研究，促進研究民主化（Democratization of Science）。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