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{{TITLE}}</w:t>
      </w:r>
    </w:p>
    <w:p>
      <w:r>
        <w:t>1. 目的</w:t>
      </w:r>
    </w:p>
    <w:p>
      <w:r>
        <w:t>本标准操作规程规定 {{TITLE}} 的执行要求，适用于本部门及相关岗位。</w:t>
      </w:r>
    </w:p>
    <w:p>
      <w:r>
        <w:t>2. 引用文件</w:t>
      </w:r>
    </w:p>
    <w:p>
      <w:r>
        <w:t>本规程引用 {{SOP:SOP-QC-003}} 与 {{SOP:SOP-QA-009}}。</w:t>
      </w:r>
    </w:p>
    <w:p>
      <w:r>
        <w:t>3. 程序</w:t>
      </w:r>
    </w:p>
    <w:p>
      <w:r>
        <w:t>4. 修订历史</w:t>
      </w:r>
    </w:p>
    <w:p>
      <w:r>
        <w:t>按 {{SOP:SOP-QC-003}} 第 5.2 条执行；与 {{SOP:SOP-QA-030}} 有冲突时，以本规程为准。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生效日期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</w:tr>
      <w:tr>
        <w:tc>
          <w:tcPr>
            <w:tcW w:type="dxa" w:w="2160"/>
          </w:tcPr>
          <w:p>
            <w:r>
              <w:t>V02</w:t>
            </w:r>
          </w:p>
        </w:tc>
        <w:tc>
          <w:tcPr>
            <w:tcW w:type="dxa" w:w="2160"/>
          </w:tcPr>
          <w:p>
            <w:r>
              <w:t>2024-06-15</w:t>
            </w:r>
          </w:p>
        </w:tc>
        <w:tc>
          <w:tcPr>
            <w:tcW w:type="dxa" w:w="2160"/>
          </w:tcPr>
          <w:p>
            <w:r>
              <w:t>按 2023 版药典修订术语</w:t>
            </w:r>
          </w:p>
        </w:tc>
        <w:tc>
          <w:tcPr>
            <w:tcW w:type="dxa" w:w="2160"/>
          </w:tcPr>
          <w:p>
            <w:r>
              <w:t>李敏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{{DOC_NO}}｜受控文件，打印后请核对页眉版本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文件编号：{{DOC_NO}}｜版本：{{VER}}｜生效日期：{{EFF}}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受控文档模板</dc:title>
  <dc:subject/>
  <dc:creator>示例</dc:creator>
  <cp:keywords/>
  <dc:description>generated by python-docx</dc:description>
  <cp:lastModifiedBy>示例</cp:lastModifiedBy>
  <cp:revision>1</cp:revision>
  <dcterms:created xsi:type="dcterms:W3CDTF">2013-12-23T23:15:00Z</dcterms:created>
  <dcterms:modified xsi:type="dcterms:W3CDTF">2013-12-23T23:15:00Z</dcterms:modified>
  <cp:category/>
</cp:coreProperties>
</file>