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PAT002 — Maria Sandoval</w:t>
      </w:r>
    </w:p>
    <w:p>
      <w:pPr>
        <w:jc w:val="center"/>
      </w:pPr>
      <w:r>
        <w:rPr>
          <w:i/>
          <w:sz w:val="26"/>
        </w:rPr>
        <w:t>Assessment Walkthrough — Lazy vs Skilled vs Compact Prompting</w:t>
      </w:r>
    </w:p>
    <w:p>
      <w:pPr>
        <w:pStyle w:val="Heading1"/>
      </w:pPr>
      <w:r>
        <w:t>Overview</w:t>
      </w:r>
    </w:p>
    <w:p>
      <w:r>
        <w:t>A 3-timepoint clinical case adapted from NEJM Clinical Problem-Solving "Peeling and Plummeting." 30 minutes total, 4 questions, 6.5 total weight, 70% overall pass. The right diagnostic triad is active SLE → inflammatory myositis → oropharyngeal dysphagia → starvation → kwashiorkor, with social-determinant amplifiers.</w:t>
      </w:r>
    </w:p>
    <w:p>
      <w:r>
        <w:t>This document shows THREE simulated runs through the assessment: (1) a lazy resident who dumps the question with all-context toggled on; (2) a skilled resident using a verbose 6–7-prompt iterative chain; and (3) a skilled resident using a COMPACT 2–3-prompt chain. The latter is the realistic skilled-resident workflow under a 12-minute timepoint clock.</w:t>
      </w:r>
    </w:p>
    <w:p>
      <w:pPr>
        <w:pStyle w:val="Heading2"/>
      </w:pPr>
      <w:r>
        <w:t>Chart-difficulty iteration applied in this version</w:t>
      </w:r>
    </w:p>
    <w:p>
      <w:r>
        <w:t>Compared with the first build, the chart now: (a) does NOT start hydroxychloroquine at the 1/12/2026 urgent care visit — disease-modifying therapy is explicitly deferred until rheumatology evaluation; (b) softens the family history from "maternal aunt with SLE" to "maternal aunt with chronic autoimmune illness"; (c) drops the "(Hashimoto's confirmed)" parenthetical when the TPO antibody returns positive; (d) rephrases the 3/15 admission H&amp;P impression from "Known active SLE; medication adherence has been intermittent" to "Background of established autoimmune disease (SLE) with recent gaps in immunosuppression; etiology of current decompensation to be defined inpatient." Intent: stop spoon-feeding the SLE label so a lazy "dump and ask" prompt has to derive the autoimmune framing instead of parroting it.</w:t>
      </w:r>
    </w:p>
    <w:p>
      <w:pPr>
        <w:pStyle w:val="Heading1"/>
      </w:pPr>
      <w:r>
        <w:t>Score comparison — lazy vs verbose-skilled vs compact-skilled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Weight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Lazy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Verbose (6–7 prompts)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Compact (2–3 prompts)</w:t>
            </w:r>
          </w:p>
        </w:tc>
      </w:tr>
      <w:tr>
        <w:tc>
          <w:tcPr>
            <w:tcW w:type="dxa" w:w="1728"/>
          </w:tcPr>
          <w:p>
            <w:r>
              <w:t>TP1 — Differential + next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0.75 (75%)</w:t>
            </w:r>
          </w:p>
        </w:tc>
        <w:tc>
          <w:tcPr>
            <w:tcW w:type="dxa" w:w="1728"/>
          </w:tcPr>
          <w:p>
            <w:r>
              <w:t>0.95 (95%)</w:t>
            </w:r>
          </w:p>
        </w:tc>
        <w:tc>
          <w:tcPr>
            <w:tcW w:type="dxa" w:w="1728"/>
          </w:tcPr>
          <w:p>
            <w:r>
              <w:t>0.92 (92%)</w:t>
            </w:r>
          </w:p>
        </w:tc>
      </w:tr>
      <w:tr>
        <w:tc>
          <w:tcPr>
            <w:tcW w:type="dxa" w:w="1728"/>
          </w:tcPr>
          <w:p>
            <w:r>
              <w:t>TP2 — Diff + 24-hr plan</w:t>
            </w:r>
          </w:p>
        </w:tc>
        <w:tc>
          <w:tcPr>
            <w:tcW w:type="dxa" w:w="1728"/>
          </w:tcPr>
          <w:p>
            <w:r>
              <w:t>2.0</w:t>
            </w:r>
          </w:p>
        </w:tc>
        <w:tc>
          <w:tcPr>
            <w:tcW w:type="dxa" w:w="1728"/>
          </w:tcPr>
          <w:p>
            <w:r>
              <w:t>1.16 (58%)</w:t>
            </w:r>
          </w:p>
        </w:tc>
        <w:tc>
          <w:tcPr>
            <w:tcW w:type="dxa" w:w="1728"/>
          </w:tcPr>
          <w:p>
            <w:r>
              <w:t>1.80 (90%)</w:t>
            </w:r>
          </w:p>
        </w:tc>
        <w:tc>
          <w:tcPr>
            <w:tcW w:type="dxa" w:w="1728"/>
          </w:tcPr>
          <w:p>
            <w:r>
              <w:t>1.70 (85%)</w:t>
            </w:r>
          </w:p>
        </w:tc>
      </w:tr>
      <w:tr>
        <w:tc>
          <w:tcPr>
            <w:tcW w:type="dxa" w:w="1728"/>
          </w:tcPr>
          <w:p>
            <w:r>
              <w:t>TP3-Q1 — Unifying dx</w:t>
            </w:r>
          </w:p>
        </w:tc>
        <w:tc>
          <w:tcPr>
            <w:tcW w:type="dxa" w:w="1728"/>
          </w:tcPr>
          <w:p>
            <w:r>
              <w:t>1.5</w:t>
            </w:r>
          </w:p>
        </w:tc>
        <w:tc>
          <w:tcPr>
            <w:tcW w:type="dxa" w:w="1728"/>
          </w:tcPr>
          <w:p>
            <w:r>
              <w:t>0.98 (65%)</w:t>
            </w:r>
          </w:p>
        </w:tc>
        <w:tc>
          <w:tcPr>
            <w:tcW w:type="dxa" w:w="1728"/>
          </w:tcPr>
          <w:p>
            <w:r>
              <w:t>1.43 (95%)</w:t>
            </w:r>
          </w:p>
        </w:tc>
        <w:tc>
          <w:tcPr>
            <w:tcW w:type="dxa" w:w="1728"/>
          </w:tcPr>
          <w:p>
            <w:r>
              <w:t>1.35 (90%)</w:t>
            </w:r>
          </w:p>
        </w:tc>
      </w:tr>
      <w:tr>
        <w:tc>
          <w:tcPr>
            <w:tcW w:type="dxa" w:w="1728"/>
          </w:tcPr>
          <w:p>
            <w:r>
              <w:t>TP3-Q2 — Discharge plan</w:t>
            </w:r>
          </w:p>
        </w:tc>
        <w:tc>
          <w:tcPr>
            <w:tcW w:type="dxa" w:w="1728"/>
          </w:tcPr>
          <w:p>
            <w:r>
              <w:t>2.0</w:t>
            </w:r>
          </w:p>
        </w:tc>
        <w:tc>
          <w:tcPr>
            <w:tcW w:type="dxa" w:w="1728"/>
          </w:tcPr>
          <w:p>
            <w:r>
              <w:t>1.00 (50%)</w:t>
            </w:r>
          </w:p>
        </w:tc>
        <w:tc>
          <w:tcPr>
            <w:tcW w:type="dxa" w:w="1728"/>
          </w:tcPr>
          <w:p>
            <w:r>
              <w:t>1.80 (90%)</w:t>
            </w:r>
          </w:p>
        </w:tc>
        <w:tc>
          <w:tcPr>
            <w:tcW w:type="dxa" w:w="1728"/>
          </w:tcPr>
          <w:p>
            <w:r>
              <w:t>1.70 (85%)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6.5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3.89 (60%)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5.98 (92%)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5.67 (87%)</w:t>
            </w:r>
          </w:p>
        </w:tc>
      </w:tr>
    </w:tbl>
    <w:p/>
    <w:p>
      <w:r>
        <w:rPr>
          <w:b/>
        </w:rPr>
        <w:t xml:space="preserve">Read. </w:t>
      </w:r>
      <w:r>
        <w:t>Lazy total ~60% (solidly under the 70% pass). Verbose skilled ~92% (every essential and bonus, but ~7 turns per question). Compact skilled ~87% (still well above pass, with less than half the prompt count). The compact column is the realistic skilled-resident workflow — verbose is for teaching.</w:t>
      </w:r>
    </w:p>
    <w:p>
      <w:pPr>
        <w:pStyle w:val="Heading1"/>
      </w:pPr>
      <w:r>
        <w:t>TP1 — Initial presentation (2026-01-12)</w:t>
      </w:r>
    </w:p>
    <w:p>
      <w:pPr>
        <w:pStyle w:val="Heading2"/>
      </w:pPr>
      <w:r>
        <w:t>Clinical picture</w:t>
      </w:r>
    </w:p>
    <w:p>
      <w:r>
        <w:t>22-year-old uninsured Spanish-speaking immigrant from rural Guatemala. 6 mo polyarthritis + fatigue + hair thinning + mild weight loss. Exam: symmetric synovitis, scalp thinning, NO rash. Labs: TSH 5.32, ANA 1:80 homogeneous, RF neg. Family hx: maternal aunt with chronic autoimmune illness (specific dx unknown); mother hypothyroid; father deceased (treated TB). Levothyroxine started; HCQ deferred pending rheumatology.</w:t>
      </w:r>
    </w:p>
    <w:p>
      <w:pPr>
        <w:pStyle w:val="Heading2"/>
      </w:pPr>
      <w:r>
        <w:t>Question</w:t>
      </w:r>
    </w:p>
    <w:p>
      <w:r>
        <w:rPr>
          <w:i/>
        </w:rPr>
        <w:t>"What is your prioritized differential diagnosis for Maria's current symptoms, and what would you do next?"</w:t>
      </w:r>
    </w:p>
    <w:p>
      <w:pPr>
        <w:pStyle w:val="Heading2"/>
      </w:pPr>
      <w:r>
        <w:t>Rubric-passing answer (outline)</w:t>
      </w:r>
    </w:p>
    <w:p>
      <w:pPr>
        <w:pStyle w:val="ListBullet"/>
      </w:pPr>
      <w:r>
        <w:t>Weight SLE as one possibility — do NOT anchor on 1:80 ANA alone</w:t>
      </w:r>
    </w:p>
    <w:p>
      <w:pPr>
        <w:pStyle w:val="ListBullet"/>
      </w:pPr>
      <w:r>
        <w:t>UCTD / probable early SLE as best fit</w:t>
      </w:r>
    </w:p>
    <w:p>
      <w:pPr>
        <w:pStyle w:val="ListBullet"/>
      </w:pPr>
      <w:r>
        <w:t>Viral arthropathy (parvovirus B19, hep B/C)</w:t>
      </w:r>
    </w:p>
    <w:p>
      <w:pPr>
        <w:pStyle w:val="ListBullet"/>
      </w:pPr>
      <w:r>
        <w:t>RA or seronegative inflammatory arthropathy</w:t>
      </w:r>
    </w:p>
    <w:p>
      <w:pPr>
        <w:pStyle w:val="ListBullet"/>
      </w:pPr>
      <w:r>
        <w:t>Hashimoto's thyroiditis addresses TSH explicitly (not "incidental")</w:t>
      </w:r>
    </w:p>
    <w:p>
      <w:pPr>
        <w:pStyle w:val="ListBullet"/>
      </w:pPr>
      <w:r>
        <w:t>TB / extrapulmonary TB given immigration + family hx + 2018 indeterminate IGRA (bonus)</w:t>
      </w:r>
    </w:p>
    <w:p>
      <w:pPr>
        <w:pStyle w:val="ListBullet"/>
      </w:pPr>
      <w:r>
        <w:t>Next steps: specific autoantibodies, complements, viral serologies, free T4, TPO Ab, UPC, rheum referral, Spanish return precautions</w:t>
      </w:r>
    </w:p>
    <w:p>
      <w:pPr>
        <w:pStyle w:val="ListBullet"/>
      </w:pPr>
      <w:r>
        <w:t>Agree with deferring HCQ until specialty workup (bonus)</w:t>
      </w:r>
    </w:p>
    <w:p>
      <w:pPr>
        <w:pStyle w:val="Heading2"/>
      </w:pPr>
      <w:r>
        <w:t>Lazy "dump-and-ask"</w:t>
      </w:r>
    </w:p>
    <w:p>
      <w:r>
        <w:t>AI covers SLE/UCTD/RA/viral, orders the right serologies, refers to rheum. Without HCQ-anchoring and with softer family-hx wording, lazy AI broadens the differential less confidently. Misses: hypothyroid arthropathy as unifying mechanism; TB/infection framing; weighting of low-titer ANA.</w:t>
      </w:r>
    </w:p>
    <w:p>
      <w:r>
        <w:rPr>
          <w:b/>
        </w:rPr>
        <w:t xml:space="preserve">Score: </w:t>
      </w:r>
      <w:r>
        <w:rPr>
          <w:b/>
        </w:rPr>
        <w:t>~75% (0.75 / 1.0).</w:t>
      </w:r>
    </w:p>
    <w:p>
      <w:pPr>
        <w:pStyle w:val="Heading2"/>
      </w:pPr>
      <w:r>
        <w:t>Compact skilled chain</w:t>
      </w:r>
    </w:p>
    <w:p>
      <w:r>
        <w:rPr>
          <w:b/>
        </w:rPr>
        <w:t>Prompts:</w:t>
      </w:r>
    </w:p>
    <w:p>
      <w:pPr>
        <w:pStyle w:val="ListNumber"/>
      </w:pPr>
      <w:r>
        <w:t>"Broad differential for 22F with new symmetric polyarthritis + fatigue + hair loss + low-titer ANA 1:80 + mildly elevated TSH + family hx of autoimmune disease + Guatemalan immigrant with prior indeterminate IGRA. Weight each finding's specificity."</w:t>
      </w:r>
    </w:p>
    <w:p>
      <w:pPr>
        <w:pStyle w:val="ListNumber"/>
      </w:pPr>
      <w:r>
        <w:t>"Could her thyroid finding alone unify the picture? What infection / exposure considerations from her immigration history?"</w:t>
      </w:r>
    </w:p>
    <w:p>
      <w:pPr>
        <w:pStyle w:val="ListNumber"/>
      </w:pPr>
      <w:r>
        <w:t>"Next-step workup ordered by yield — what to send today vs at rheum eval."</w:t>
      </w:r>
    </w:p>
    <w:p>
      <w:r>
        <w:rPr>
          <w:b/>
        </w:rPr>
        <w:t xml:space="preserve">Result: </w:t>
      </w:r>
      <w:r>
        <w:t>Low-titer ANA appropriately weighted; hypothyroid arthropathy as unifying mechanism; TB/infection on differential; autoantibody + viral serology + thyroid workup; rheum referral.</w:t>
      </w:r>
    </w:p>
    <w:p>
      <w:r>
        <w:rPr>
          <w:b/>
        </w:rPr>
        <w:t xml:space="preserve">Score: </w:t>
      </w:r>
      <w:r>
        <w:rPr>
          <w:b/>
        </w:rPr>
        <w:t>~92% (0.92 / 1.0).</w:t>
      </w:r>
    </w:p>
    <w:p>
      <w:pPr>
        <w:pStyle w:val="Heading1"/>
      </w:pPr>
      <w:r>
        <w:t>TP2 — Severe re-presentation (2027-03-15)</w:t>
      </w:r>
    </w:p>
    <w:p>
      <w:pPr>
        <w:pStyle w:val="Heading2"/>
      </w:pPr>
      <w:r>
        <w:t>Clinical picture</w:t>
      </w:r>
    </w:p>
    <w:p>
      <w:r>
        <w:t>Admitted from clinic in extremis. 14 mo of intercurrent visits visible. Weight 35.4 kg (BMI 15.7, 30.3% loss), anasarca, hypothermic, tachycardic. Cachectic + anasarcic, scaling pinkish-brown dermatosis with crackled abdominal appearance, brittle hair with bands of lighter pigmentation, Beau's lines, oral ulcers, hip flexion 2/5, head lag. Labs: Hgb 7.8, WBC 2.30, Plt 122, albumin 1.6, prealbumin 6, K 3.0, Mg 1.4, Phos 1.8, CK 2360, dsDNA 48, C3 58, C4 5, anti-Sm newly positive, zinc 32, vit D 12. CT: severe muscle wasting, no malignancy, no anatomic dysphagia cause.</w:t>
      </w:r>
    </w:p>
    <w:p>
      <w:pPr>
        <w:pStyle w:val="Heading2"/>
      </w:pPr>
      <w:r>
        <w:t>Question</w:t>
      </w:r>
    </w:p>
    <w:p>
      <w:r>
        <w:rPr>
          <w:i/>
        </w:rPr>
        <w:t>"Build your working differential for Maria's current presentation, then write your first 24-hour workup and management plan. What do you order, what do you hold, and in what order? Be explicit about safety."</w:t>
      </w:r>
    </w:p>
    <w:p>
      <w:pPr>
        <w:pStyle w:val="Heading2"/>
      </w:pPr>
      <w:r>
        <w:t>Rubric-passing answer (outline)</w:t>
      </w:r>
    </w:p>
    <w:p>
      <w:pPr>
        <w:pStyle w:val="ListBullet"/>
      </w:pPr>
      <w:r>
        <w:t>Unify: active SLE flare WITH inflammatory myositis driving the dysphagia</w:t>
      </w:r>
    </w:p>
    <w:p>
      <w:pPr>
        <w:pStyle w:val="ListBullet"/>
      </w:pPr>
      <w:r>
        <w:t>Severe protein-calorie malnutrition / kwashiorkor as a CO-DEFINING diagnosis</w:t>
      </w:r>
    </w:p>
    <w:p>
      <w:pPr>
        <w:pStyle w:val="ListBullet"/>
      </w:pPr>
      <w:r>
        <w:t>NPO + aspiration precautions + MBSS before any PO intake</w:t>
      </w:r>
    </w:p>
    <w:p>
      <w:pPr>
        <w:pStyle w:val="ListBullet"/>
      </w:pPr>
      <w:r>
        <w:t>Pre-immunosuppression infection screen BEFORE steroid escalation</w:t>
      </w:r>
    </w:p>
    <w:p>
      <w:pPr>
        <w:pStyle w:val="ListBullet"/>
      </w:pPr>
      <w:r>
        <w:t>Hold immunosuppression escalation until biopsy direction AND infection screen return</w:t>
      </w:r>
    </w:p>
    <w:p>
      <w:pPr>
        <w:pStyle w:val="ListBullet"/>
      </w:pPr>
      <w:r>
        <w:t>Refeeding precautions: thiamine BEFORE glucose, 10–20 kcal/kg/d initiation, q6h phos/Mg/K</w:t>
      </w:r>
    </w:p>
    <w:p>
      <w:pPr>
        <w:pStyle w:val="ListBullet"/>
      </w:pPr>
      <w:r>
        <w:t>Muscle workup: CK/aldolase, EMG, biopsy, MSA panel</w:t>
      </w:r>
    </w:p>
    <w:p>
      <w:pPr>
        <w:pStyle w:val="ListBullet"/>
      </w:pPr>
      <w:r>
        <w:t>Skin biopsy of active abdominal lesion</w:t>
      </w:r>
    </w:p>
    <w:p>
      <w:pPr>
        <w:pStyle w:val="ListBullet"/>
      </w:pPr>
      <w:r>
        <w:t>Cautious IV fluids — anasarcic but intravascularly dry; NO dextrose until thiamine in</w:t>
      </w:r>
    </w:p>
    <w:p>
      <w:pPr>
        <w:pStyle w:val="Heading2"/>
      </w:pPr>
      <w:r>
        <w:t>Lazy "dump-and-ask"</w:t>
      </w:r>
    </w:p>
    <w:p>
      <w:r>
        <w:t>AI names "multi-system flare in patient with SLE," orders MBSS / consults / infection screen / electrolyte repletion, holds MMF. MISSES kwashiorkor as defining diagnosis, specific refeeding precautions, hold-until-biopsy logic, causal chain, missed-opportunity timeline.</w:t>
      </w:r>
    </w:p>
    <w:p>
      <w:r>
        <w:rPr>
          <w:b/>
        </w:rPr>
        <w:t xml:space="preserve">Score: </w:t>
      </w:r>
      <w:r>
        <w:rPr>
          <w:b/>
        </w:rPr>
        <w:t>~58% (1.16 / 2.0). Discriminating timepoint.</w:t>
      </w:r>
    </w:p>
    <w:p>
      <w:pPr>
        <w:pStyle w:val="Heading2"/>
      </w:pPr>
      <w:r>
        <w:t>Compact skilled chain</w:t>
      </w:r>
    </w:p>
    <w:p>
      <w:r>
        <w:rPr>
          <w:b/>
        </w:rPr>
        <w:t>Prompts:</w:t>
      </w:r>
    </w:p>
    <w:p>
      <w:pPr>
        <w:pStyle w:val="ListNumber"/>
      </w:pPr>
      <w:r>
        <w:t>"Build a differential for Maria's current presentation, then write a first 24-hour workup and management plan with explicit refeeding safety (thiamine before glucose, kcal/kg/day, q6h electrolyte monitoring) and immunosuppression hold logic."</w:t>
      </w:r>
    </w:p>
    <w:p>
      <w:pPr>
        <w:pStyle w:val="ListNumber"/>
      </w:pPr>
      <w:r>
        <w:t>"Look at the physical findings (scaling dermatosis, banded hair, anasarca despite cachexia, low albumin/prealbumin/zinc/copper, low BUN). What kind of malnutrition pattern is this, and how does it connect to her dysphagia and her SLE flare?"</w:t>
      </w:r>
    </w:p>
    <w:p>
      <w:pPr>
        <w:pStyle w:val="ListNumber"/>
      </w:pPr>
      <w:r>
        <w:t>"What patient-specific safety items am I missing — sex/reproductive, language, missed-care history?"</w:t>
      </w:r>
    </w:p>
    <w:p>
      <w:r>
        <w:rPr>
          <w:b/>
        </w:rPr>
        <w:t xml:space="preserve">Result: </w:t>
      </w:r>
      <w:r>
        <w:t>SLE flare + inflammatory myositis identified, kwashiorkor named as co-defining, causal chain articulated, specific refeeding ramp + thiamine + monitoring, hold-until-biopsy logic, pregnancy test for MMF candidate, missed-opportunity timeline.</w:t>
      </w:r>
    </w:p>
    <w:p>
      <w:r>
        <w:rPr>
          <w:b/>
        </w:rPr>
        <w:t xml:space="preserve">Score: </w:t>
      </w:r>
      <w:r>
        <w:rPr>
          <w:b/>
        </w:rPr>
        <w:t>~85% (1.70 / 2.0).</w:t>
      </w:r>
    </w:p>
    <w:p>
      <w:pPr>
        <w:pStyle w:val="Heading1"/>
      </w:pPr>
      <w:r>
        <w:t>TP3-Q1 — Unifying diagnosis (HD11)</w:t>
      </w:r>
    </w:p>
    <w:p>
      <w:pPr>
        <w:pStyle w:val="Heading2"/>
      </w:pPr>
      <w:r>
        <w:t>Clinical picture</w:t>
      </w:r>
    </w:p>
    <w:p>
      <w:r>
        <w:t>Inpatient workup back. Muscle biopsy: CD8+ endomysial infiltrate (PM-pattern) + perifascicular atrophy + MHC-I + C5b-9 (DM-pattern). MSA panel ALL negative. Skin biopsy: interface dermatitis + epidermal cytoplasmic vacuolation + weakly positive lupus band + ABSENT dermal mucin. EMG: active myopathic process. Infection screen clean. HD8–10 pulse methylpred 1g x 3. HD10 MBSS improved. Today: walking 5–6 steps with walker, hip flexion 4–/5. Albumin 1.9, CK 1240, dsDNA 28.</w:t>
      </w:r>
    </w:p>
    <w:p>
      <w:pPr>
        <w:pStyle w:val="Heading2"/>
      </w:pPr>
      <w:r>
        <w:t>Question</w:t>
      </w:r>
    </w:p>
    <w:p>
      <w:r>
        <w:rPr>
          <w:i/>
        </w:rPr>
        <w:t>"Commit to a unifying diagnosis (or dyad/triad) for Maria. Lay out your reasoning."</w:t>
      </w:r>
    </w:p>
    <w:p>
      <w:pPr>
        <w:pStyle w:val="Heading2"/>
      </w:pPr>
      <w:r>
        <w:t>Rubric-passing answer (outline)</w:t>
      </w:r>
    </w:p>
    <w:p>
      <w:pPr>
        <w:pStyle w:val="ListBullet"/>
      </w:pPr>
      <w:r>
        <w:t>TRIAD: Active SLE + SLE-associated inflammatory myositis (PM/DM overlap, MSA neg) + severe protein-calorie malnutrition / kwashiorkor</w:t>
      </w:r>
    </w:p>
    <w:p>
      <w:pPr>
        <w:pStyle w:val="ListBullet"/>
      </w:pPr>
      <w:r>
        <w:t>EXPLICIT causal chain: SLE → myositis → pharyngeal involvement → dysphagia → starvation → kwashiorkor</w:t>
      </w:r>
    </w:p>
    <w:p>
      <w:pPr>
        <w:pStyle w:val="ListBullet"/>
      </w:pPr>
      <w:r>
        <w:t>Skin findings MIXED — kwashiorkor dermatosis layered on SLE cutaneous disease</w:t>
      </w:r>
    </w:p>
    <w:p>
      <w:pPr>
        <w:pStyle w:val="ListBullet"/>
      </w:pPr>
      <w:r>
        <w:t>Social-determinant amplifiers as accelerators</w:t>
      </w:r>
    </w:p>
    <w:p>
      <w:pPr>
        <w:pStyle w:val="ListBullet"/>
      </w:pPr>
      <w:r>
        <w:t>Prognosis driven as much by nutritional recovery as by SLE control</w:t>
      </w:r>
    </w:p>
    <w:p>
      <w:pPr>
        <w:pStyle w:val="Heading2"/>
      </w:pPr>
      <w:r>
        <w:t>Lazy "dump-and-ask"</w:t>
      </w:r>
    </w:p>
    <w:p>
      <w:r>
        <w:t>AI hits SLE + myositis + dysphagia-from-myositis. Misses kwashiorkor as CO-defining, the explicit chain, mixed skin findings, social-determinant framing.</w:t>
      </w:r>
    </w:p>
    <w:p>
      <w:r>
        <w:rPr>
          <w:b/>
        </w:rPr>
        <w:t xml:space="preserve">Score: </w:t>
      </w:r>
      <w:r>
        <w:rPr>
          <w:b/>
        </w:rPr>
        <w:t>~65% (0.98 / 1.5).</w:t>
      </w:r>
    </w:p>
    <w:p>
      <w:pPr>
        <w:pStyle w:val="Heading2"/>
      </w:pPr>
      <w:r>
        <w:t>Compact skilled chain</w:t>
      </w:r>
    </w:p>
    <w:p>
      <w:r>
        <w:rPr>
          <w:b/>
        </w:rPr>
        <w:t>Prompts:</w:t>
      </w:r>
    </w:p>
    <w:p>
      <w:pPr>
        <w:pStyle w:val="ListNumber"/>
      </w:pPr>
      <w:r>
        <w:t>"Given the muscle biopsy + MSA panel + skin biopsy + EMG + lab trajectories, commit to a unifying diagnosis as a triad. Explicitly state the causal chain."</w:t>
      </w:r>
    </w:p>
    <w:p>
      <w:pPr>
        <w:pStyle w:val="ListNumber"/>
      </w:pPr>
      <w:r>
        <w:t>"Is the skin finding pure SLE, pure kwashiorkor, or mixed? Cite the biopsy features. Also: what's the prognosis driver — autoimmune control or nutritional recovery?"</w:t>
      </w:r>
    </w:p>
    <w:p>
      <w:r>
        <w:rPr>
          <w:b/>
        </w:rPr>
        <w:t xml:space="preserve">Result: </w:t>
      </w:r>
      <w:r>
        <w:t>Triad with explicit causal chain; mixed skin findings with biopsy citations; prognosis driven by both.</w:t>
      </w:r>
    </w:p>
    <w:p>
      <w:r>
        <w:rPr>
          <w:b/>
        </w:rPr>
        <w:t xml:space="preserve">Score: </w:t>
      </w:r>
      <w:r>
        <w:rPr>
          <w:b/>
        </w:rPr>
        <w:t>~90% (1.35 / 1.5).</w:t>
      </w:r>
    </w:p>
    <w:p>
      <w:pPr>
        <w:pStyle w:val="Heading1"/>
      </w:pPr>
      <w:r>
        <w:t>TP3-Q2 — Discharge plan</w:t>
      </w:r>
    </w:p>
    <w:p>
      <w:pPr>
        <w:pStyle w:val="Heading2"/>
      </w:pPr>
      <w:r>
        <w:t>Clinical picture</w:t>
      </w:r>
    </w:p>
    <w:p>
      <w:r>
        <w:t>Discharging today. Spanish-speaking primarily, just got Medicaid 3 weeks ago after 3 years uninsured, lives 3rd-floor walkup with no elevator, mother is primary caregiver.</w:t>
      </w:r>
    </w:p>
    <w:p>
      <w:pPr>
        <w:pStyle w:val="Heading2"/>
      </w:pPr>
      <w:r>
        <w:t>Question</w:t>
      </w:r>
    </w:p>
    <w:p>
      <w:r>
        <w:rPr>
          <w:i/>
        </w:rPr>
        <w:t>"Write Maria's discharge management plan. Address immunosuppression, nutrition, and the outpatient transition."</w:t>
      </w:r>
    </w:p>
    <w:p>
      <w:pPr>
        <w:pStyle w:val="Heading2"/>
      </w:pPr>
      <w:r>
        <w:t>Rubric-passing answer (outline)</w:t>
      </w:r>
    </w:p>
    <w:p>
      <w:pPr>
        <w:pStyle w:val="ListBullet"/>
      </w:pPr>
      <w:r>
        <w:t>Specific prednisone dose + taper schedule</w:t>
      </w:r>
    </w:p>
    <w:p>
      <w:pPr>
        <w:pStyle w:val="ListBullet"/>
      </w:pPr>
      <w:r>
        <w:t>MMF; HCQ + annual ophtho; PCP prophylaxis (TMP/SMX); bone health</w:t>
      </w:r>
    </w:p>
    <w:p>
      <w:pPr>
        <w:pStyle w:val="ListBullet"/>
      </w:pPr>
      <w:r>
        <w:t>NG / modified-consistency diet tied to swallow study; specific kcal ramp; micronutrients; refeeding monitoring</w:t>
      </w:r>
    </w:p>
    <w:p>
      <w:pPr>
        <w:pStyle w:val="ListBullet"/>
      </w:pPr>
      <w:r>
        <w:t>CONTRACEPTION COUNSELING — MMF teratogenic (required to pass)</w:t>
      </w:r>
    </w:p>
    <w:p>
      <w:pPr>
        <w:pStyle w:val="ListBullet"/>
      </w:pPr>
      <w:r>
        <w:t>Specific outpatient follow-up with intervals</w:t>
      </w:r>
    </w:p>
    <w:p>
      <w:pPr>
        <w:pStyle w:val="ListBullet"/>
      </w:pPr>
      <w:r>
        <w:t>CONCRETE MEDICATION-ACCESS PLAN</w:t>
      </w:r>
    </w:p>
    <w:p>
      <w:pPr>
        <w:pStyle w:val="ListBullet"/>
      </w:pPr>
      <w:r>
        <w:t>LANGUAGE-CONCORDANT follow-up at every level</w:t>
      </w:r>
    </w:p>
    <w:p>
      <w:pPr>
        <w:pStyle w:val="ListBullet"/>
      </w:pPr>
      <w:r>
        <w:t>Spanish return precautions tied to specific risks</w:t>
      </w:r>
    </w:p>
    <w:p>
      <w:pPr>
        <w:pStyle w:val="ListBullet"/>
      </w:pPr>
      <w:r>
        <w:t>Mental health continuation; warm handoffs</w:t>
      </w:r>
    </w:p>
    <w:p>
      <w:pPr>
        <w:pStyle w:val="Heading2"/>
      </w:pPr>
      <w:r>
        <w:t>Lazy "dump-and-ask"</w:t>
      </w:r>
    </w:p>
    <w:p>
      <w:r>
        <w:t>AI lists steroid + MMF + HCQ + prophylaxis, NG plan, named follow-ups. MISSES specific taper schedule, refeeding monitoring schedule, calorie ramp, medication-access plan, language-concordant follow-up, contraception counseling for MMF, bone health beyond Ca, Spanish materials, mental health continuation.</w:t>
      </w:r>
    </w:p>
    <w:p>
      <w:r>
        <w:rPr>
          <w:b/>
        </w:rPr>
        <w:t xml:space="preserve">Score: </w:t>
      </w:r>
      <w:r>
        <w:rPr>
          <w:b/>
        </w:rPr>
        <w:t>~50% (1.00 / 2.0).</w:t>
      </w:r>
    </w:p>
    <w:p>
      <w:pPr>
        <w:pStyle w:val="Heading2"/>
      </w:pPr>
      <w:r>
        <w:t>Compact skilled chain</w:t>
      </w:r>
    </w:p>
    <w:p>
      <w:r>
        <w:rPr>
          <w:b/>
        </w:rPr>
        <w:t>Prompts:</w:t>
      </w:r>
    </w:p>
    <w:p>
      <w:pPr>
        <w:pStyle w:val="ListNumber"/>
      </w:pPr>
      <w:r>
        <w:t>"Draft a discharge plan covering immunosuppression doses + taper, refeeding monitoring, dysphagia plan, and outpatient transition."</w:t>
      </w:r>
    </w:p>
    <w:p>
      <w:pPr>
        <w:pStyle w:val="ListNumber"/>
      </w:pPr>
      <w:r>
        <w:t>"What patient-specific items must I add given she's a 23-year-old Spanish-speaking woman with insurance gaps, food insecurity, recent depression, and a 3rd-floor walkup?"</w:t>
      </w:r>
    </w:p>
    <w:p>
      <w:r>
        <w:rPr>
          <w:b/>
        </w:rPr>
        <w:t xml:space="preserve">Result: </w:t>
      </w:r>
      <w:r>
        <w:t>Specific taper + MMF + HCQ + PCP prophylaxis, NG/swallow plan, contraception counseling, language-concordant follow-up, medication-access bridge, warm handoffs, mental-health continuation.</w:t>
      </w:r>
    </w:p>
    <w:p>
      <w:r>
        <w:rPr>
          <w:b/>
        </w:rPr>
        <w:t xml:space="preserve">Score: </w:t>
      </w:r>
      <w:r>
        <w:rPr>
          <w:b/>
        </w:rPr>
        <w:t>~85% (1.70 / 2.0).</w:t>
      </w:r>
    </w:p>
    <w:p>
      <w:pPr>
        <w:pStyle w:val="Heading1"/>
      </w:pPr>
      <w:r>
        <w:t>Where the discriminating skill lives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TP1</w:t>
            </w:r>
          </w:p>
        </w:tc>
        <w:tc>
          <w:tcPr>
            <w:tcW w:type="dxa" w:w="4320"/>
          </w:tcPr>
          <w:p>
            <w:r>
              <w:t>Modest — most of TP1's value can be hit lazily because the question is appropriately broad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TP2</w:t>
            </w:r>
          </w:p>
        </w:tc>
        <w:tc>
          <w:tcPr>
            <w:tcW w:type="dxa" w:w="4320"/>
          </w:tcPr>
          <w:p>
            <w:r>
              <w:t>Biggest swing. Lazy misses kwashiorkor synthesis + specific refeeding safety. Compact skilled forces both in 3 prompts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TP3-Q1</w:t>
            </w:r>
          </w:p>
        </w:tc>
        <w:tc>
          <w:tcPr>
            <w:tcW w:type="dxa" w:w="4320"/>
          </w:tcPr>
          <w:p>
            <w:r>
              <w:t>Synthesis question — compact chain pulls out triad + mixed-dermatosis interpretation in 2 prompts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TP3-Q2</w:t>
            </w:r>
          </w:p>
        </w:tc>
        <w:tc>
          <w:tcPr>
            <w:tcW w:type="dxa" w:w="4320"/>
          </w:tcPr>
          <w:p>
            <w:r>
              <w:t>Largest swing. Lazy generic; compact "social-determinants + sex-specific" prompt yields the specific bridges in 2 prompts</w:t>
            </w:r>
          </w:p>
        </w:tc>
      </w:tr>
    </w:tbl>
    <w:p>
      <w:pPr>
        <w:pStyle w:val="Heading1"/>
      </w:pPr>
      <w:r>
        <w:t>Tuning the difficulty</w:t>
      </w:r>
    </w:p>
    <w:p>
      <w:r>
        <w:t>If real residents with lazy prompting routinely score above 70%: the rubric essentials at TP2 and TP3 are too forgiving — consider weighting kwashiorkor recognition more heavily, or marking it as required-to-pass.</w:t>
      </w:r>
    </w:p>
    <w:p>
      <w:r>
        <w:t>If skilled prompting can't clear 80%: a rubric essential is poorly stated or the chart doesn't support it — re-audit the visible-at-anchor data.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