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Fabry Disease Clinical Case — Knowledge Assessment</w:t>
      </w:r>
    </w:p>
    <w:p>
      <w:pPr>
        <w:spacing w:after="40"/>
      </w:pPr>
      <w:r>
        <w:rPr>
          <w:color w:val="555555"/>
        </w:rPr>
        <w:t xml:space="preserve">Stanford IRB-86737 · Answer-key copy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22 scored multiple-choice questions + 1 comfort-rating item · Generated 2026-05-29</w:t>
      </w:r>
    </w:p>
    <w:p>
      <w:pPr>
        <w:spacing w:after="160"/>
      </w:pPr>
      <w:r>
        <w:rPr>
          <w:i/>
          <w:iCs/>
          <w:color w:val="777777"/>
          <w:sz w:val="18"/>
          <w:szCs w:val="18"/>
        </w:rPr>
        <w:t xml:space="preserve">The correct option for each question is bold and marked “✓ correct.” This is an answer-key version for study staff — not for distribution to participants. In the live assessment the comfort-rating item is shown first; here it appears last for readability.</w:t>
      </w:r>
    </w:p>
    <w:p>
      <w:pPr>
        <w:pBdr>
          <w:bottom w:val="single" w:color="CCCCCC" w:sz="6" w:space="4"/>
        </w:pBdr>
        <w:spacing w:after="160"/>
      </w:pPr>
      <w:r>
        <w:t xml:space="preserve"/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</w:t>
      </w:r>
    </w:p>
    <w:p>
      <w:pPr>
        <w:spacing w:after="80"/>
      </w:pPr>
      <w:r>
        <w:t xml:space="preserve">Episodes of severe burning pain in the hands and feet, present since childhood, in this disease are most characteristically triggered by: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/>
          <w:bCs/>
        </w:rPr>
        <w:t xml:space="preserve">Heat, fever, and physical exertion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Cold exposure, stress, and certain foods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Sustained pressure on the affected limbs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Prolonged immobility, such as long flights or bed rest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</w:t>
      </w:r>
    </w:p>
    <w:p>
      <w:pPr>
        <w:spacing w:after="80"/>
      </w:pPr>
      <w:r>
        <w:t xml:space="preserve">A 32-year-old man with this disease is asking about inheritance. Which family-history pattern would most support the diagnosis?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Both parents unaffected, with approximately 25% of siblings affected regardless of sex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/>
          <w:bCs/>
        </w:rPr>
        <w:t xml:space="preserve">Affected maternal uncles and male cousins, with no father-to-son transmission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Affected men in multiple generations on the father’s side, including father-to-son transmission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No family history of similar symptoms in any relative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3</w:t>
      </w:r>
    </w:p>
    <w:p>
      <w:pPr>
        <w:spacing w:after="80"/>
      </w:pPr>
      <w:r>
        <w:t xml:space="preserve">A patient with this disease has a long-standing diagnosis of irritable bowel syndrome with episodic abdominal pain and diarrhea. This gastrointestinal pattern is most likely: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A coincidental functional bowel disorder unrelated to the underlying disease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An adverse effect of the chronic neuropathic-pain medications he takes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/>
          <w:bCs/>
        </w:rPr>
        <w:t xml:space="preserve">A direct gastrointestinal manifestation of the disease, often predating its diagnosis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A sign of mesenteric ischemia from vascular involvement, warranting urgent mesenteric angiography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4</w:t>
      </w:r>
    </w:p>
    <w:p>
      <w:pPr>
        <w:spacing w:after="80"/>
      </w:pPr>
      <w:r>
        <w:t xml:space="preserve">On physical examination, which of the following dermatologic findings would most strongly support this diagnosis?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Erythematous, silvery-scaled plaques on the extensor surfaces of the elbows and knees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/>
          <w:bCs/>
        </w:rPr>
        <w:t xml:space="preserve">Clusters of small, dark-red papules over the lower abdomen, groin, and upper thighs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Hyperpigmented, velvety thickened patches in the axillae and the posterior neck folds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Firm yellow-orange nodules overlying the Achilles and the extensor tendons of the hands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5</w:t>
      </w:r>
    </w:p>
    <w:p>
      <w:pPr>
        <w:spacing w:after="80"/>
      </w:pPr>
      <w:r>
        <w:t xml:space="preserve">Cornea verticillata (bilateral whorl-like opacities of the corneal epithelium) is observed on slit-lamp examination. Which of the following is true about this finding?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It is pathognomonic for this disease and reliably excludes all other diagnoses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It typically causes progressive visual loss that requires corneal transplantation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/>
          <w:bCs/>
        </w:rPr>
        <w:t xml:space="preserve">It also occurs with chronic amiodarone, chloroquine, or hydroxychloroquine therapy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It is usually markedly asymmetric, affecting only one eye in the majority of patients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6</w:t>
      </w:r>
    </w:p>
    <w:p>
      <w:pPr>
        <w:spacing w:after="80"/>
      </w:pPr>
      <w:r>
        <w:t xml:space="preserve">Sensory examination of a patient with this disease typically shows: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/>
          <w:bCs/>
        </w:rPr>
        <w:t xml:space="preserve">Reduced pinprick and temperature sensation distally, with preserved vibration sense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Reduced vibration and proprioception in the feet, with preserved pinprick and temperature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A patchy, asymmetric sensory deficit consistent with a mononeuritis multiplex pattern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A symmetric 'stocking-glove' loss of all sensory modalities with absent ankle reflexes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7</w:t>
      </w:r>
    </w:p>
    <w:p>
      <w:pPr>
        <w:spacing w:after="80"/>
      </w:pPr>
      <w:r>
        <w:t xml:space="preserve">For a male patient with clinical suspicion of this disease, the most appropriate initial confirmatory test is: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Renal biopsy with electron microscopy looking for lamellated inclusion bodies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Whole-exome sequencing performed on a peripheral blood sample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Serum protein electrophoresis with immunofixation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/>
          <w:bCs/>
        </w:rPr>
        <w:t xml:space="preserve">Plasma or leukocyte alpha-galactosidase A enzyme activity assay</w:t>
      </w:r>
      <w:r>
        <w:rPr>
          <w:b/>
          <w:bCs/>
          <w:color w:val="1B7A3D"/>
        </w:rPr>
        <w:t xml:space="preserve">   ✓ correct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8</w:t>
      </w:r>
    </w:p>
    <w:p>
      <w:pPr>
        <w:spacing w:after="80"/>
      </w:pPr>
      <w:r>
        <w:t xml:space="preserve">The patient’s 35-year-old sister is being evaluated as a possible carrier. Her plasma alpha-galactosidase A activity is reported as normal. The most appropriate interpretation is: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/>
          <w:bCs/>
        </w:rPr>
        <w:t xml:space="preserve">Send GLA gene sequencing, because enzyme activity is unreliable in carrier females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She is definitively unaffected and requires no further evaluation or genetic testing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Her diagnosis is confirmed; the normal enzyme activity reflects compensatory pathways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She has a 50% chance of carrying it and should defer testing until she is symptomatic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9</w:t>
      </w:r>
    </w:p>
    <w:p>
      <w:pPr>
        <w:spacing w:after="80"/>
      </w:pPr>
      <w:r>
        <w:t xml:space="preserve">Which of the following ECG findings is characteristic of cardiac involvement in this disease, particularly in earlier stages?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A prolonged QTc interval with marked T-wave inversion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Right bundle branch block with marked right axis deviation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Pathologic Q waves in the inferior and lateral leads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/>
          <w:bCs/>
        </w:rPr>
        <w:t xml:space="preserve">A short PR interval, often less than 120 milliseconds</w:t>
      </w:r>
      <w:r>
        <w:rPr>
          <w:b/>
          <w:bCs/>
          <w:color w:val="1B7A3D"/>
        </w:rPr>
        <w:t xml:space="preserve">   ✓ correct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10</w:t>
      </w:r>
    </w:p>
    <w:p>
      <w:pPr>
        <w:spacing w:after="80"/>
      </w:pPr>
      <w:r>
        <w:t xml:space="preserve">Migalastat (Galafold) for this disease: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Is an oral substrate reduction therapy that inhibits the enzyme glucosylceramide synthase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/>
          <w:bCs/>
        </w:rPr>
        <w:t xml:space="preserve">Is a pharmacologic chaperone that works only in patients with 'amenable' GLA mutations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Is given intravenously every two weeks alongside standard enzyme replacement therapy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Is curative when it is combined with hematopoietic stem-cell transplantation early on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11</w:t>
      </w:r>
    </w:p>
    <w:p>
      <w:pPr>
        <w:spacing w:after="80"/>
      </w:pPr>
      <w:r>
        <w:t xml:space="preserve">In a patient with this disease, stage 3 CKD, and persistent proteinuria, a cornerstone of renal protection — independent of disease-specific therapy — is: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A high-dose loop diuretic such as furosemide to control chronic fluid overload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Chronic empiric oral corticosteroids to slow progressive glomerular injury over time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/>
          <w:bCs/>
        </w:rPr>
        <w:t xml:space="preserve">An ACE inhibitor or angiotensin receptor blocker titrated to reduce proteinuria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A calcineurin inhibitor such as tacrolimus to suppress ongoing glomerular inflammation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12</w:t>
      </w:r>
    </w:p>
    <w:p>
      <w:pPr>
        <w:spacing w:after="80"/>
      </w:pPr>
      <w:r>
        <w:t xml:space="preserve">You are counseling a male patient with this disease about implications for his future children. Which of the following statements is most accurate?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Each of his children, regardless of sex, has a 50% chance of inheriting the mutation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Only his sons are at risk; his daughters cannot inherit the mutation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None of his children are at increased risk because the disease typically arises de novo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/>
          <w:bCs/>
        </w:rPr>
        <w:t xml:space="preserve">All of his daughters will inherit the mutation; none of his sons will inherit it</w:t>
      </w:r>
      <w:r>
        <w:rPr>
          <w:b/>
          <w:bCs/>
          <w:color w:val="1B7A3D"/>
        </w:rPr>
        <w:t xml:space="preserve">   ✓ correct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15</w:t>
      </w:r>
    </w:p>
    <w:p>
      <w:pPr>
        <w:spacing w:after="80"/>
      </w:pPr>
      <w:r>
        <w:t xml:space="preserve">The neuropathic pain experienced in Fabry disease is most directly related to: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/>
          <w:bCs/>
        </w:rPr>
        <w:t xml:space="preserve">Deposition of glycosphingolipids within small nerve fibers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Immune-mediated demyelination of the peripheral sensory nerves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Entrapment and compression neuropathy from soft-tissue edema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Autoimmune small-vessel vasculitis affecting the peripheral nerves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16</w:t>
      </w:r>
    </w:p>
    <w:p>
      <w:pPr>
        <w:spacing w:after="80"/>
      </w:pPr>
      <w:r>
        <w:t xml:space="preserve">Which mechanism most likely explains the development of left ventricular hypertrophy in Fabry disease?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Chronic, poorly controlled systemic arterial hypertension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Coronary vasospasm causing recurrent ischemia and fibrosis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Recurrent viral myocarditis with inflammatory remodeling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/>
          <w:bCs/>
        </w:rPr>
        <w:t xml:space="preserve">Glycosphingolipid accumulation within the cardiomyocytes</w:t>
      </w:r>
      <w:r>
        <w:rPr>
          <w:b/>
          <w:bCs/>
          <w:color w:val="1B7A3D"/>
        </w:rPr>
        <w:t xml:space="preserve">   ✓ correct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19</w:t>
      </w:r>
    </w:p>
    <w:p>
      <w:pPr>
        <w:spacing w:after="80"/>
      </w:pPr>
      <w:r>
        <w:t xml:space="preserve">Proteinuria in Fabry disease most directly reflects injury to which renal structure?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Distal tubules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Collecting ducts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Renal arteries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/>
          <w:bCs/>
        </w:rPr>
        <w:t xml:space="preserve">Podocytes</w:t>
      </w:r>
      <w:r>
        <w:rPr>
          <w:b/>
          <w:bCs/>
          <w:color w:val="1B7A3D"/>
        </w:rPr>
        <w:t xml:space="preserve">   ✓ correct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21</w:t>
      </w:r>
    </w:p>
    <w:p>
      <w:pPr>
        <w:spacing w:after="80"/>
      </w:pPr>
      <w:r>
        <w:t xml:space="preserve">The primary rationale for initiating disease-specific therapy early in Fabry disease is to: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Reverse all of the organ damage that has already accumulated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Eliminate the risk of transmitting the disease to offspring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/>
          <w:bCs/>
        </w:rPr>
        <w:t xml:space="preserve">Prevent irreversible organ fibrosis and loss of function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Restore a normal life expectancy in essentially all patients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22</w:t>
      </w:r>
    </w:p>
    <w:p>
      <w:pPr>
        <w:spacing w:after="80"/>
      </w:pPr>
      <w:r>
        <w:t xml:space="preserve">Which patient presentation should most strongly prompt consideration of Fabry disease?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/>
          <w:bCs/>
        </w:rPr>
        <w:t xml:space="preserve">Young man with proteinuric CKD, lifelong burning pain in the hands and feet, and a maternal uncle on dialysis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Young woman with proteinuria, a photosensitive facial rash, and inflammatory polyarthralgia of the hands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Young man with persistent hematuria, progressive sensorineural hearing loss, and a family history of kidney failure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Young adult with episodic flank pain, gross hematuria, and numerous bilateral renal cysts seen on imaging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23</w:t>
      </w:r>
    </w:p>
    <w:p>
      <w:pPr>
        <w:spacing w:after="80"/>
      </w:pPr>
      <w:r>
        <w:t xml:space="preserve">Beyond left ventricular hypertrophy, which of the following is another characteristic cardiac manifestation of Fabry disease?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Recurrent paroxysmal supraventricular tachycardia arising from a congenital accessory pathway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/>
          <w:bCs/>
        </w:rPr>
        <w:t xml:space="preserve">Progressive conduction disease and arrhythmias, such as AV block and atrial fibrillation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Congenital long-QT syndrome that predisposes the patient to torsades de pointes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Pulmonary arterial hypertension that leads to progressive right heart failure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24</w:t>
      </w:r>
    </w:p>
    <w:p>
      <w:pPr>
        <w:spacing w:after="80"/>
      </w:pPr>
      <w:r>
        <w:t xml:space="preserve">In a patient on enzyme replacement therapy for Fabry disease, which blood test best reflects biochemical disease activity and treatment response over time?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Plasma globotriaosylceramide (Gb3) concentration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/>
          <w:bCs/>
        </w:rPr>
        <w:t xml:space="preserve">Plasma globotriaosylsphingosine (lyso-Gb3)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Leukocyte alpha-galactosidase A enzyme activity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A 24-hour urine protein-to-creatinine ratio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25</w:t>
      </w:r>
    </w:p>
    <w:p>
      <w:pPr>
        <w:spacing w:after="80"/>
      </w:pPr>
      <w:r>
        <w:t xml:space="preserve">Patients with Fabry disease are at markedly increased risk of stroke, often at a young age. Which stroke pattern is most characteristic?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Large-artery cardioembolic stroke as the single predominant mechanism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Lobar intracerebral hemorrhage caused by underlying cerebral amyloid angiopathy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/>
          <w:bCs/>
        </w:rPr>
        <w:t xml:space="preserve">Small-vessel ischemic stroke with a predilection for the posterior circulation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Subarachnoid hemorrhage from the rupture of a berry (saccular) aneurysm in the circle of Willis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26</w:t>
      </w:r>
    </w:p>
    <w:p>
      <w:pPr>
        <w:spacing w:after="80"/>
      </w:pPr>
      <w:r>
        <w:t xml:space="preserve">A young man with Fabry disease reports that he cannot tolerate hot weather or exercise and rarely sweats. The most likely explanation is: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 w:val="false"/>
          <w:bCs w:val="false"/>
        </w:rPr>
        <w:t xml:space="preserve">An anticholinergic adverse effect of one of his current medications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Primary hypothalamic thermoregulatory dysfunction of central origin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Physical deconditioning and reduced cardiac output from his cardiomyopathy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/>
          <w:bCs/>
        </w:rPr>
        <w:t xml:space="preserve">Fabry-related small-fiber and autonomic dysfunction that impairs sweating</w:t>
      </w:r>
      <w:r>
        <w:rPr>
          <w:b/>
          <w:bCs/>
          <w:color w:val="1B7A3D"/>
        </w:rPr>
        <w:t xml:space="preserve">   ✓ correct</w:t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27</w:t>
      </w:r>
    </w:p>
    <w:p>
      <w:pPr>
        <w:spacing w:after="80"/>
      </w:pPr>
      <w:r>
        <w:t xml:space="preserve">A patient with Fabry disease reaches end-stage kidney disease and receives a kidney transplant. Which statement is most accurate?</w:t>
      </w:r>
    </w:p>
    <w:p>
      <w:pPr>
        <w:spacing w:after="40"/>
        <w:ind w:left="480"/>
      </w:pPr>
      <w:r>
        <w:rPr>
          <w:b/>
          <w:bCs/>
        </w:rPr>
        <w:t xml:space="preserve">A.  </w:t>
      </w:r>
      <w:r>
        <w:rPr>
          <w:b/>
          <w:bCs/>
        </w:rPr>
        <w:t xml:space="preserve">The graft is largely spared, but cardiac and cerebrovascular disease keep progressing</w:t>
      </w:r>
      <w:r>
        <w:rPr>
          <w:b/>
          <w:bCs/>
          <w:color w:val="1B7A3D"/>
        </w:rPr>
        <w:t xml:space="preserve">   ✓ correct</w:t>
      </w:r>
    </w:p>
    <w:p>
      <w:pPr>
        <w:spacing w:after="40"/>
        <w:ind w:left="480"/>
      </w:pPr>
      <w:r>
        <w:rPr>
          <w:b/>
          <w:bCs/>
        </w:rPr>
        <w:t xml:space="preserve">B.  </w:t>
      </w:r>
      <w:r>
        <w:rPr>
          <w:b w:val="false"/>
          <w:bCs w:val="false"/>
        </w:rPr>
        <w:t xml:space="preserve">The graft re-accumulates glycosphingolipid and predictably fails within the first year</w:t>
      </w:r>
    </w:p>
    <w:p>
      <w:pPr>
        <w:spacing w:after="40"/>
        <w:ind w:left="480"/>
      </w:pPr>
      <w:r>
        <w:rPr>
          <w:b/>
          <w:bCs/>
        </w:rPr>
        <w:t xml:space="preserve">C.  </w:t>
      </w:r>
      <w:r>
        <w:rPr>
          <w:b w:val="false"/>
          <w:bCs w:val="false"/>
        </w:rPr>
        <w:t xml:space="preserve">Transplantation corrects the enzyme deficiency systemically and halts disease elsewhere</w:t>
      </w:r>
    </w:p>
    <w:p>
      <w:pPr>
        <w:spacing w:after="40"/>
        <w:ind w:left="480"/>
      </w:pPr>
      <w:r>
        <w:rPr>
          <w:b/>
          <w:bCs/>
        </w:rPr>
        <w:t xml:space="preserve">D.  </w:t>
      </w:r>
      <w:r>
        <w:rPr>
          <w:b w:val="false"/>
          <w:bCs w:val="false"/>
        </w:rPr>
        <w:t xml:space="preserve">A living related-donor graft is strongly preferred because relatives resist recurrence</w:t>
      </w:r>
    </w:p>
    <w:p>
      <w:pPr>
        <w:pBdr>
          <w:bottom w:val="single" w:color="CCCCCC" w:sz="6" w:space="4"/>
        </w:pBdr>
        <w:spacing w:after="160"/>
      </w:pPr>
      <w:r>
        <w:t xml:space="preserve"/>
      </w:r>
    </w:p>
    <w:p>
      <w:pPr>
        <w:keepNext/>
        <w:spacing w:after="60" w:before="160"/>
      </w:pPr>
      <w:r>
        <w:rPr>
          <w:b/>
          <w:bCs/>
          <w:color w:val="2E5E8C"/>
          <w:sz w:val="26"/>
          <w:szCs w:val="26"/>
        </w:rPr>
        <w:t xml:space="preserve">Question 13 — Comfort rating (not scored)</w:t>
      </w:r>
    </w:p>
    <w:p>
      <w:pPr>
        <w:spacing w:after="80"/>
      </w:pPr>
      <w:r>
        <w:t xml:space="preserve">How comfortable would you be taking care of a patient with Fabry disease?</w:t>
      </w:r>
    </w:p>
    <w:p>
      <w:pPr>
        <w:spacing w:after="40"/>
        <w:ind w:left="480"/>
      </w:pPr>
      <w:r>
        <w:t xml:space="preserve">0–10 scale  (0 = Not at all comfortable; 10 = Very comfortable)</w:t>
      </w:r>
    </w:p>
    <w:p>
      <w:pPr>
        <w:spacing w:after="40"/>
        <w:ind w:left="480"/>
      </w:pPr>
      <w:r>
        <w:rPr>
          <w:i/>
          <w:iCs/>
          <w:color w:val="777777"/>
          <w:sz w:val="18"/>
          <w:szCs w:val="18"/>
        </w:rPr>
        <w:t xml:space="preserve">Asked identically at intake (pre) and at the end of the quiz (post) as a paired self-rated comfort measure.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Fabry Knowledge Assessment —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2026-05-29T14:34:03.819Z</dcterms:created>
  <dcterms:modified xsi:type="dcterms:W3CDTF">2026-05-29T14:34:03.820Z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