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trainees who work a clinical case</w:t>
      </w:r>
      <w:r>
        <w:t xml:space="preserve"> </w:t>
      </w:r>
      <w:r>
        <w:rPr>
          <w:i/>
          <w:iCs/>
        </w:rPr>
        <w:t xml:space="preserve">with</w:t>
      </w:r>
      <w:r>
        <w:t xml:space="preserve"> </w:t>
      </w:r>
      <w:r>
        <w:t xml:space="preserve">an AI assistant actually</w:t>
      </w:r>
      <w:r>
        <w:t xml:space="preserve"> </w:t>
      </w:r>
      <w:r>
        <w:rPr>
          <w:i/>
          <w:iCs/>
        </w:rPr>
        <w:t xml:space="preserve">acquire</w:t>
      </w:r>
      <w:r>
        <w:t xml:space="preserve"> </w:t>
      </w:r>
      <w:r>
        <w:t xml:space="preserve">knowledge they can later deploy unaided is unknown. Commentary has named the risk — AI-induced</w:t>
      </w:r>
      <w:r>
        <w:t xml:space="preserve"> </w:t>
      </w:r>
      <w:r>
        <w:rPr>
          <w:i/>
          <w:iCs/>
        </w:rPr>
        <w:t xml:space="preserve">de-skilling</w:t>
      </w:r>
      <w:r>
        <w:t xml:space="preserve">,</w:t>
      </w:r>
      <w:r>
        <w:t xml:space="preserve"> </w:t>
      </w:r>
      <w:r>
        <w:rPr>
          <w:i/>
          <w:iCs/>
        </w:rPr>
        <w:t xml:space="preserve">never-skilling</w:t>
      </w:r>
      <w:r>
        <w:t xml:space="preserve">, and</w:t>
      </w:r>
      <w:r>
        <w:t xml:space="preserve"> </w:t>
      </w:r>
      <w:r>
        <w:rPr>
          <w:i/>
          <w:iCs/>
        </w:rPr>
        <w:t xml:space="preserve">mis-skilling</w:t>
      </w:r>
      <w:r>
        <w:t xml:space="preserve"> </w:t>
      </w:r>
      <w:r>
        <w:t xml:space="preserve">— but for cognitive tasks in medicine it rests largely on theory, and the AI use that pervades clinical training is mostly</w:t>
      </w:r>
      <w:r>
        <w:t xml:space="preserve"> </w:t>
      </w:r>
      <w:r>
        <w:rPr>
          <w:i/>
          <w:iCs/>
        </w:rPr>
        <w:t xml:space="preserve">incidental</w:t>
      </w:r>
      <w:r>
        <w:t xml:space="preserve"> </w:t>
      </w:r>
      <w:r>
        <w:t xml:space="preserve">(learning as a byproduct of patient care) rather than the</w:t>
      </w:r>
      <w:r>
        <w:t xml:space="preserve"> </w:t>
      </w:r>
      <w:r>
        <w:rPr>
          <w:i/>
          <w:iCs/>
        </w:rPr>
        <w:t xml:space="preserve">deliberate</w:t>
      </w:r>
      <w:r>
        <w:t xml:space="preserve"> </w:t>
      </w:r>
      <w:r>
        <w:t xml:space="preserve">study that AI tutors support. We conducted a randomized trial centered on the measurable construct — knowledge acquisition — in the incidental setting.</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Medical education has begun to name these hazards. In a 2025</w:t>
      </w:r>
      <w:r>
        <w:t xml:space="preserve"> </w:t>
      </w:r>
      <w:r>
        <w:rPr>
          <w:i/>
          <w:iCs/>
        </w:rPr>
        <w:t xml:space="preserve">New England Journal of Medicine</w:t>
      </w:r>
      <w:r>
        <w:t xml:space="preserve"> </w:t>
      </w:r>
      <w:r>
        <w:t xml:space="preserve">essay, Abdulnour and colleagues distinguished three risks of clinical AI use:</w:t>
      </w:r>
      <w:r>
        <w:t xml:space="preserve"> </w:t>
      </w:r>
      <w:r>
        <w:rPr>
          <w:b/>
          <w:bCs/>
        </w:rPr>
        <w:t xml:space="preserve">de-skilling</w:t>
      </w:r>
      <w:r>
        <w:t xml:space="preserve">, the loss of competencies a clinician once had;</w:t>
      </w:r>
      <w:r>
        <w:t xml:space="preserve"> </w:t>
      </w:r>
      <w:r>
        <w:rPr>
          <w:b/>
          <w:bCs/>
        </w:rPr>
        <w:t xml:space="preserve">never-skilling</w:t>
      </w:r>
      <w:r>
        <w:t xml:space="preserve">, the failure of trainees to develop competencies because AI did the cognitive work at the moment of skill formation; and</w:t>
      </w:r>
      <w:r>
        <w:t xml:space="preserve"> </w:t>
      </w:r>
      <w:r>
        <w:rPr>
          <w:b/>
          <w:bCs/>
        </w:rPr>
        <w:t xml:space="preserve">mis-skilling</w:t>
      </w:r>
      <w:r>
        <w:t xml:space="preserve">, the adoption of incorrect or biased AI-generated patterns, including those reinforced by model sycophancy.¹⁶ These terms are now the common vocabulary of the field, but they map awkwardly onto residents, who occupy a muddy middle — licensed physicians still both acquiring and consolidating clinical reasoning — so that AI reliance threatens at once to arrest emerging skill and to erode it. Rather than adjudicate that boundary, we focus on the construct common to all three and the one that is directly measurable:</w:t>
      </w:r>
      <w:r>
        <w:t xml:space="preserve"> </w:t>
      </w:r>
      <w:r>
        <w:rPr>
          <w:b/>
          <w:bCs/>
        </w:rPr>
        <w:t xml:space="preserve">knowledge acquisition</w:t>
      </w:r>
      <w:r>
        <w:t xml:space="preserve"> </w:t>
      </w:r>
      <w:r>
        <w:t xml:space="preserve">— whether working a case with an AI assistant leaves a resident with knowledge they can later deploy unaided. Empirically, even this is far better developed in theory than in evidence: the clearest demonstrations of AI-associated skill loss in medicine are</w:t>
      </w:r>
      <w:r>
        <w:t xml:space="preserve"> </w:t>
      </w:r>
      <w:r>
        <w:rPr>
          <w:i/>
          <w:iCs/>
        </w:rPr>
        <w:t xml:space="preserve">perceptual</w:t>
      </w:r>
      <w:r>
        <w:t xml:space="preserve"> </w:t>
      </w:r>
      <w:r>
        <w:t xml:space="preserve">tasks — adenoma detection at colonoscopy¹³ and image interpretation in radiology¹⁷ — while the randomized clinical-AI literature measures</w:t>
      </w:r>
      <w:r>
        <w:t xml:space="preserve"> </w:t>
      </w:r>
      <w:r>
        <w:rPr>
          <w:i/>
          <w:iCs/>
        </w:rPr>
        <w:t xml:space="preserve">assisted performance</w:t>
      </w:r>
      <w:r>
        <w:t xml:space="preserve">, not what trainees retain.¹⁻⁴ For a cognitive task, whether AI assistance builds or bypasses durable knowledge has not, to our knowledge, been tested in a randomized trial.</w:t>
      </w:r>
    </w:p>
    <w:p>
      <w:pPr>
        <w:pStyle w:val="BodyText"/>
      </w:pPr>
      <w:r>
        <w:t xml:space="preserve">A second distinction is essential and, so far, largely unmade. AI can be used to</w:t>
      </w:r>
      <w:r>
        <w:t xml:space="preserve"> </w:t>
      </w:r>
      <w:r>
        <w:rPr>
          <w:i/>
          <w:iCs/>
        </w:rPr>
        <w:t xml:space="preserve">deliberately</w:t>
      </w:r>
      <w:r>
        <w:t xml:space="preserve"> </w:t>
      </w:r>
      <w:r>
        <w:t xml:space="preserve">learn — board-review tutors, question banks, and study assistants explicitly built to teach, a fast-growing category in which the learner’s goal is mastery and the AI is configured as a teacher. But the AI use that now pervades clinical training is different: it is</w:t>
      </w:r>
      <w:r>
        <w:t xml:space="preserve"> </w:t>
      </w:r>
      <w:r>
        <w:rPr>
          <w:i/>
          <w:iCs/>
        </w:rPr>
        <w:t xml:space="preserve">incidental</w:t>
      </w:r>
      <w:r>
        <w:t xml:space="preserve">, embedded in the work of caring for patients. A trainee pulls up a chatbot mid-rounds to generate a differential, draft a note, or answer a question — the goal is to complete the clinical task, and whatever learning occurs is a byproduct. Incidental learning in the course of patient care has been the engine of clinical training since Osler; it is also where the offloading risk is greatest, because the explicit aim of the encounter is to complete the clinical task rather than to study, so that — unless the trainee brings a learning-oriented posture to the interaction — a fluent answer can remove the very effort that would otherwise build skill. Evidence about AI tutors used for deliberate study does not transfer to this setting. Our trial models the incidental case: residents use AI to</w:t>
      </w:r>
      <w:r>
        <w:t xml:space="preserve"> </w:t>
      </w:r>
      <w:r>
        <w:rPr>
          <w:i/>
          <w:iCs/>
        </w:rPr>
        <w:t xml:space="preserve">do the clinical work</w:t>
      </w:r>
      <w:r>
        <w:t xml:space="preserve">, and we measure what knowledge nonetheless formed.</w:t>
      </w:r>
    </w:p>
    <w:p>
      <w:pPr>
        <w:pStyle w:val="BodyText"/>
      </w:pPr>
      <w:r>
        <w:t xml:space="preserve">Despite intense interest in generative AI for medical education, the field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acquire</w:t>
      </w:r>
      <w:r>
        <w:t xml:space="preserve"> </w:t>
      </w:r>
      <w:r>
        <w:t xml:space="preserve">from working a case with one — knowledge they can later apply without it. We conducted a randomized trial to test this directly. Residents worked an unfamiliar clinical case with either an embedded AI assistant or a standard clinical reference (UpToDate), and we measured the knowledge they retained on an immediately following, resource-free assessment. The design deliberately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unassisted-acquisition</w:t>
      </w:r>
      <w:r>
        <w:t xml:space="preserve"> </w:t>
      </w:r>
      <w:r>
        <w:t xml:space="preserve">phase (the assessment, without it), isolating knowledge acquisition as the endpoint. We chose Fabry disease — a rare, multisystem condition unlikely to be within residents’ existing knowledge — so that the assessment would capture knowledge newly acquired during the session rather than prior expertise. As an exploratory aim, and following evidence that</w:t>
      </w:r>
      <w:r>
        <w:t xml:space="preserve"> </w:t>
      </w:r>
      <w:r>
        <w:rPr>
          <w:i/>
          <w:iCs/>
        </w:rPr>
        <w:t xml:space="preserve">how</w:t>
      </w:r>
      <w:r>
        <w:t xml:space="preserve"> </w:t>
      </w:r>
      <w:r>
        <w:t xml:space="preserve">one interacts with AI, more than how much, determines whether it builds or erodes skill,⁵ we examined whether more cognitively engaged interaction in the AI arm was associated with greater retained knowledge.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general-purpose chat assistant built on a frontier large language model (Anthropic Claude Opus 4.7), available in a side panel, with a one-click option to insert the case context into the conversation. The assistant was used in essentially its default conversational form: a brief system prompt set a concise, high-yield clinical communication style but did not configure it to tutor, to question the resident Socratically, or otherwise to promote learning. No separate login was required, and all messages were logged.</w:t>
      </w:r>
      <w:r>
        <w:t xml:space="preserve"> </w:t>
      </w:r>
      <w:r>
        <w:rPr>
          <w:i/>
          <w:iCs/>
        </w:rPr>
        <w:t xml:space="preserve">(⚠ Drafting note: report the exact system prompt verbatim — ideally as a supplement. Note that it also asks the assistant to give targeted feedback when the resident shares their own reasoning, a mild pedagogical element to reconcile with the</w:t>
      </w:r>
      <w:r>
        <w:rPr>
          <w:i/>
          <w:iCs/>
        </w:rPr>
        <w:t xml:space="preserve"> </w:t>
      </w:r>
      <w:r>
        <w:rPr>
          <w:i/>
          <w:iCs/>
        </w:rPr>
        <w:t xml:space="preserve">“default/general-purpose”</w:t>
      </w:r>
      <w:r>
        <w:rPr>
          <w:i/>
          <w:iCs/>
        </w:rPr>
        <w:t xml:space="preserve"> </w:t>
      </w:r>
      <w:r>
        <w:rPr>
          <w:i/>
          <w:iCs/>
        </w:rPr>
        <w:t xml:space="preserve">description.)</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Framed against the de-skilling/never-skilling/mis-skilling taxonomy,¹⁶ this trial supplies direct, randomized evidence on a concern that, for cognitive medical tasks, has been argued largely from theory and from analogy to perceptual domains. Because residents sit between acquiring and maintaining clinical reasoning, we framed the endpoint not as a verdict on which label applies but as</w:t>
      </w:r>
      <w:r>
        <w:t xml:space="preserve"> </w:t>
      </w:r>
      <w:r>
        <w:rPr>
          <w:b/>
          <w:bCs/>
        </w:rPr>
        <w:t xml:space="preserve">knowledge acquisition</w:t>
      </w:r>
      <w:r>
        <w:t xml:space="preserve"> </w:t>
      </w:r>
      <w:r>
        <w:t xml:space="preserve">in the incidental setting that dominates real practice — whether working a case with an AI assistant, as one would in caring for a patient, leaves residents with knowledge they can deploy unaided. [DATA: a null or negative between-arm difference would be, to our knowledge, the first randomized signal that AI assistance can bypass durable knowledge formation for a cognitive clinical task; a benefit would argue toward AI as a learning aid even when learning is incidental.] The item-level and free-response data additionally let us probe</w:t>
      </w:r>
      <w:r>
        <w:t xml:space="preserve"> </w:t>
      </w:r>
      <w:r>
        <w:rPr>
          <w:b/>
          <w:bCs/>
        </w:rPr>
        <w:t xml:space="preserve">mis-skilling</w:t>
      </w:r>
      <w:r>
        <w:t xml:space="preserve"> </w:t>
      </w:r>
      <w:r>
        <w:t xml:space="preserve">— whether AI-arm errors concentrate where a fluent but incomplete assistant is most likely to mislead (for example, treating a non-pathognomonic finding as definitive) — and whether any rise in self-rated comfort outpaces actual knowledge, the confidence–competence gap that makes these risks hard to detect at the bedside. Consistent with evidence that interaction</w:t>
      </w:r>
      <w:r>
        <w:t xml:space="preserve"> </w:t>
      </w:r>
      <w:r>
        <w:rPr>
          <w:i/>
          <w:iCs/>
        </w:rPr>
        <w:t xml:space="preserve">posture</w:t>
      </w:r>
      <w:r>
        <w:t xml:space="preserve"> </w:t>
      </w:r>
      <w:r>
        <w:t xml:space="preserve">governs whether AI builds or erodes skill,⁵ our exploratory analysis of engaged versus answer-seeking use [supports/does not support] the hypothesis that</w:t>
      </w:r>
      <w:r>
        <w:t xml:space="preserve"> </w:t>
      </w:r>
      <w:r>
        <w:rPr>
          <w:i/>
          <w:iCs/>
        </w:rPr>
        <w:t xml:space="preserve">how</w:t>
      </w:r>
      <w:r>
        <w:t xml:space="preserve"> </w:t>
      </w:r>
      <w:r>
        <w:t xml:space="preserve">residents use AI, more than whether they use it, determines what they learn. If interaction posture proves both consequential and modifiable, the operative educational question shifts from whether residents use AI to whether they can be taught to use it in skill-preserving ways — a question this paradigm is well positioned to answer next.</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The assistant studied here was a general-purpose chatbot with no learning-specific configuration, and AI tools are unlikely to be interchangeable on this dimension. Whether a tool built or prompted to reason</w:t>
      </w:r>
      <w:r>
        <w:t xml:space="preserve"> </w:t>
      </w:r>
      <w:r>
        <w:rPr>
          <w:i/>
          <w:iCs/>
        </w:rPr>
        <w:t xml:space="preserve">with</w:t>
      </w:r>
      <w:r>
        <w:t xml:space="preserve"> </w:t>
      </w:r>
      <w:r>
        <w:t xml:space="preserve">the resident rather than</w:t>
      </w:r>
      <w:r>
        <w:t xml:space="preserve"> </w:t>
      </w:r>
      <w:r>
        <w:rPr>
          <w:i/>
          <w:iCs/>
        </w:rPr>
        <w:t xml:space="preserve">for</w:t>
      </w:r>
      <w:r>
        <w:t xml:space="preserve"> </w:t>
      </w:r>
      <w:r>
        <w:t xml:space="preserve">them — a dedicated medical evidence assistant, or a deliberately Socratic configuration — would change what residents retain is unknown; the same paradigm could compare such tools head to head, and the present result establishes the default-chatbot baseline against which any learning-oriented design would have to prove itself.</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Because the case turns on a disease outside residents’ prior knowledge, the trial indexes the cognitive-offloading</w:t>
      </w:r>
      <w:r>
        <w:t xml:space="preserve"> </w:t>
      </w:r>
      <w:r>
        <w:rPr>
          <w:i/>
          <w:iCs/>
        </w:rPr>
        <w:t xml:space="preserve">mechanism</w:t>
      </w:r>
      <w:r>
        <w:t xml:space="preserve"> </w:t>
      </w:r>
      <w:r>
        <w:t xml:space="preserve">shared by de- and never-skilling — whether case work with AI yields independently-retained knowledge — rather than the erosion of a pre-existing, familiar skill per se; this controlled new-learning paradigm is the cleanest available probe of that mechanism, but complementary designs — in medical students (never-skilling) and with familiar content (de-skilling of established knowledge) — would localize where on the training continuum the effect is largest.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so far outrun the evidence for cognitive tasks in medicine; this trial provides a direct, randomized test of whether incidental AI use during patient care builds or bypasses durable knowledge. As generative AI becomes ubiquitous in clinical training, randomized evidence on what trainees</w:t>
      </w:r>
      <w:r>
        <w:t xml:space="preserve"> </w:t>
      </w:r>
      <w:r>
        <w:rPr>
          <w:i/>
          <w:iCs/>
        </w:rPr>
        <w:t xml:space="preserve">acquire</w:t>
      </w:r>
      <w:r>
        <w:t xml:space="preserve"> </w:t>
      </w:r>
      <w:r>
        <w:t xml:space="preserve">— not only on how they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Macnamara BN, Berber I, Çavuşoğlu MC, et al. Does using artificial intelligence assistance accelerate skill decay and hinder skill development without performers’ awareness?</w:t>
      </w:r>
      <w:r>
        <w:t xml:space="preserve"> </w:t>
      </w:r>
      <w:r>
        <w:rPr>
          <w:i/>
          <w:iCs/>
        </w:rPr>
        <w:t xml:space="preserve">Cogn Res Princ Implic.</w:t>
      </w:r>
      <w:r>
        <w:t xml:space="preserve"> </w:t>
      </w:r>
      <w:r>
        <w:t xml:space="preserve">2024;9:46.</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2026-06-30T17:33:20Z</dcterms:created>
  <dcterms:modified xsi:type="dcterms:W3CDTF">2026-06-30T17:33:20Z</dcterms:modified>
</cp:coreProperties>
</file>

<file path=docProps/custom.xml><?xml version="1.0" encoding="utf-8"?>
<Properties xmlns="http://schemas.openxmlformats.org/officeDocument/2006/custom-properties" xmlns:vt="http://schemas.openxmlformats.org/officeDocument/2006/docPropsVTypes"/>
</file>