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budget-skill-ai-rct"/>
    <w:p>
      <w:pPr>
        <w:pStyle w:val="Heading1"/>
      </w:pPr>
      <w:r>
        <w:t xml:space="preserve">Budget, Skill AI RCT</w:t>
      </w:r>
    </w:p>
    <w:p>
      <w:pPr>
        <w:pStyle w:val="FirstParagraph"/>
      </w:pPr>
      <w:r>
        <w:t xml:space="preserve">Total request is approximately $29,100 in direct costs, or about $22,200 without the optional biostatistics and publication lines. The largest assumptions are a six-month coordinator period covering launch preparation through data closeout, and full enrollment of 100 residents. Both scale linearly and are itemized below so either can be adjusted.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Line</w:t>
            </w:r>
          </w:p>
        </w:tc>
        <w:tc>
          <w:tcPr/>
          <w:p>
            <w:pPr>
              <w:pStyle w:val="Compact"/>
            </w:pPr>
            <w:r>
              <w:t xml:space="preserve">Basis</w:t>
            </w:r>
          </w:p>
        </w:tc>
        <w:tc>
          <w:tcPr/>
          <w:p>
            <w:pPr>
              <w:pStyle w:val="Compact"/>
            </w:pPr>
            <w:r>
              <w:t xml:space="preserve">Amount</w:t>
            </w:r>
          </w:p>
        </w:tc>
      </w:tr>
      <w:tr>
        <w:tc>
          <w:tcPr/>
          <w:p>
            <w:pPr>
              <w:pStyle w:val="Compact"/>
            </w:pPr>
            <w:r>
              <w:t xml:space="preserve">Participant payments</w:t>
            </w:r>
          </w:p>
        </w:tc>
        <w:tc>
          <w:tcPr/>
          <w:p>
            <w:pPr>
              <w:pStyle w:val="Compact"/>
            </w:pPr>
            <w:r>
              <w:t xml:space="preserve">100 residents at $100 each</w:t>
            </w:r>
          </w:p>
        </w:tc>
        <w:tc>
          <w:tcPr/>
          <w:p>
            <w:pPr>
              <w:pStyle w:val="Compact"/>
            </w:pPr>
            <w:r>
              <w:t xml:space="preserve">$10,000</w:t>
            </w:r>
          </w:p>
        </w:tc>
      </w:tr>
      <w:tr>
        <w:tc>
          <w:tcPr/>
          <w:p>
            <w:pPr>
              <w:pStyle w:val="Compact"/>
            </w:pPr>
            <w:r>
              <w:t xml:space="preserve">Research coordinator</w:t>
            </w:r>
          </w:p>
        </w:tc>
        <w:tc>
          <w:tcPr/>
          <w:p>
            <w:pPr>
              <w:pStyle w:val="Compact"/>
            </w:pPr>
            <w:r>
              <w:t xml:space="preserve">$35/hr, 10 hr/wk, 26 weeks</w:t>
            </w:r>
          </w:p>
        </w:tc>
        <w:tc>
          <w:tcPr/>
          <w:p>
            <w:pPr>
              <w:pStyle w:val="Compact"/>
            </w:pPr>
            <w:r>
              <w:t xml:space="preserve">$9,100</w:t>
            </w:r>
          </w:p>
        </w:tc>
      </w:tr>
      <w:tr>
        <w:tc>
          <w:tcPr/>
          <w:p>
            <w:pPr>
              <w:pStyle w:val="Compact"/>
            </w:pPr>
            <w:r>
              <w:t xml:space="preserve">Coordinator fringe</w:t>
            </w:r>
          </w:p>
        </w:tc>
        <w:tc>
          <w:tcPr/>
          <w:p>
            <w:pPr>
              <w:pStyle w:val="Compact"/>
            </w:pPr>
            <w:r>
              <w:t xml:space="preserve">10% placeholder; use the rate for the hire’s employee class</w:t>
            </w:r>
          </w:p>
        </w:tc>
        <w:tc>
          <w:tcPr/>
          <w:p>
            <w:pPr>
              <w:pStyle w:val="Compact"/>
            </w:pPr>
            <w:r>
              <w:t xml:space="preserve">$910</w:t>
            </w:r>
          </w:p>
        </w:tc>
      </w:tr>
      <w:tr>
        <w:tc>
          <w:tcPr/>
          <w:p>
            <w:pPr>
              <w:pStyle w:val="Compact"/>
            </w:pPr>
            <w:r>
              <w:t xml:space="preserve">Second qualitative coder</w:t>
            </w:r>
          </w:p>
        </w:tc>
        <w:tc>
          <w:tcPr/>
          <w:p>
            <w:pPr>
              <w:pStyle w:val="Compact"/>
            </w:pPr>
            <w:r>
              <w:t xml:space="preserve">20 hr at $35/hr plus fringe, for dual coding of AI transcripts</w:t>
            </w:r>
          </w:p>
        </w:tc>
        <w:tc>
          <w:tcPr/>
          <w:p>
            <w:pPr>
              <w:pStyle w:val="Compact"/>
            </w:pPr>
            <w:r>
              <w:t xml:space="preserve">$770</w:t>
            </w:r>
          </w:p>
        </w:tc>
      </w:tr>
      <w:tr>
        <w:tc>
          <w:tcPr/>
          <w:p>
            <w:pPr>
              <w:pStyle w:val="Compact"/>
            </w:pPr>
            <w:r>
              <w:t xml:space="preserve">AI model usage (Anthropic API)</w:t>
            </w:r>
          </w:p>
        </w:tc>
        <w:tc>
          <w:tcPr/>
          <w:p>
            <w:pPr>
              <w:pStyle w:val="Compact"/>
            </w:pPr>
            <w:r>
              <w:t xml:space="preserve">~50 AI-arm sessions at ~$15 each, plus testing headroom</w:t>
            </w:r>
          </w:p>
        </w:tc>
        <w:tc>
          <w:tcPr/>
          <w:p>
            <w:pPr>
              <w:pStyle w:val="Compact"/>
            </w:pPr>
            <w:r>
              <w:t xml:space="preserve">$1,000</w:t>
            </w:r>
          </w:p>
        </w:tc>
      </w:tr>
      <w:tr>
        <w:tc>
          <w:tcPr/>
          <w:p>
            <w:pPr>
              <w:pStyle w:val="Compact"/>
            </w:pPr>
            <w:r>
              <w:t xml:space="preserve">Hosting</w:t>
            </w:r>
          </w:p>
        </w:tc>
        <w:tc>
          <w:tcPr/>
          <w:p>
            <w:pPr>
              <w:pStyle w:val="Compact"/>
            </w:pPr>
            <w:r>
              <w:t xml:space="preserve">Supabase Pro and Vercel, ~$50/mo for 8 months</w:t>
            </w:r>
          </w:p>
        </w:tc>
        <w:tc>
          <w:tcPr/>
          <w:p>
            <w:pPr>
              <w:pStyle w:val="Compact"/>
            </w:pPr>
            <w:r>
              <w:t xml:space="preserve">$400</w:t>
            </w:r>
          </w:p>
        </w:tc>
      </w:tr>
      <w:tr>
        <w:tc>
          <w:tcPr/>
          <w:p>
            <w:pPr>
              <w:pStyle w:val="Compact"/>
            </w:pPr>
            <w:r>
              <w:t xml:space="preserve">Biostatistics consultation (optional)</w:t>
            </w:r>
          </w:p>
        </w:tc>
        <w:tc>
          <w:tcPr/>
          <w:p>
            <w:pPr>
              <w:pStyle w:val="Compact"/>
            </w:pPr>
            <w:r>
              <w:t xml:space="preserve">~10 hr, e.g. Stanford QSU</w:t>
            </w:r>
          </w:p>
        </w:tc>
        <w:tc>
          <w:tcPr/>
          <w:p>
            <w:pPr>
              <w:pStyle w:val="Compact"/>
            </w:pPr>
            <w:r>
              <w:t xml:space="preserve">$2,000</w:t>
            </w:r>
          </w:p>
        </w:tc>
      </w:tr>
      <w:tr>
        <w:tc>
          <w:tcPr/>
          <w:p>
            <w:pPr>
              <w:pStyle w:val="Compact"/>
            </w:pPr>
            <w:r>
              <w:t xml:space="preserve">Publication and open access (optional)</w:t>
            </w:r>
          </w:p>
        </w:tc>
        <w:tc>
          <w:tcPr/>
          <w:p>
            <w:pPr>
              <w:pStyle w:val="Compact"/>
            </w:pPr>
            <w:r>
              <w:t xml:space="preserve">article processing or open-access fee at submission</w:t>
            </w:r>
          </w:p>
        </w:tc>
        <w:tc>
          <w:tcPr/>
          <w:p>
            <w:pPr>
              <w:pStyle w:val="Compact"/>
            </w:pPr>
            <w:r>
              <w:t xml:space="preserve">$3,500</w:t>
            </w:r>
          </w:p>
        </w:tc>
      </w:tr>
      <w:tr>
        <w:tc>
          <w:tcPr/>
          <w:p>
            <w:pPr>
              <w:pStyle w:val="Compact"/>
            </w:pPr>
            <w:r>
              <w:t xml:space="preserve">Contingency</w:t>
            </w:r>
          </w:p>
        </w:tc>
        <w:tc>
          <w:tcPr/>
          <w:p>
            <w:pPr>
              <w:pStyle w:val="Compact"/>
            </w:pPr>
            <w:r>
              <w:t xml:space="preserve">~5% of direct costs</w:t>
            </w:r>
          </w:p>
        </w:tc>
        <w:tc>
          <w:tcPr/>
          <w:p>
            <w:pPr>
              <w:pStyle w:val="Compact"/>
            </w:pPr>
            <w:r>
              <w:t xml:space="preserve">$1,400</w:t>
            </w:r>
          </w:p>
        </w:tc>
      </w:tr>
      <w:tr>
        <w:tc>
          <w:tcPr/>
          <w:p>
            <w:pPr>
              <w:pStyle w:val="Compact"/>
            </w:pPr>
            <w:r>
              <w:t xml:space="preserve">Direct total</w:t>
            </w:r>
          </w:p>
        </w:tc>
        <w:tc>
          <w:tcPr/>
          <w:p>
            <w:pPr>
              <w:pStyle w:val="Compact"/>
            </w:pPr>
          </w:p>
        </w:tc>
        <w:tc>
          <w:tcPr/>
          <w:p>
            <w:pPr>
              <w:pStyle w:val="Compact"/>
            </w:pPr>
            <w:r>
              <w:t xml:space="preserve">$29,080</w:t>
            </w:r>
          </w:p>
        </w:tc>
      </w:tr>
      <w:tr>
        <w:tc>
          <w:tcPr/>
          <w:p>
            <w:pPr>
              <w:pStyle w:val="Compact"/>
            </w:pPr>
            <w:r>
              <w:t xml:space="preserve">Indirect costs (if required)</w:t>
            </w:r>
          </w:p>
        </w:tc>
        <w:tc>
          <w:tcPr/>
          <w:p>
            <w:pPr>
              <w:pStyle w:val="Compact"/>
            </w:pPr>
            <w:r>
              <w:t xml:space="preserve">shown at 8% as an example; depends on funding mechanism</w:t>
            </w:r>
          </w:p>
        </w:tc>
        <w:tc>
          <w:tcPr/>
          <w:p>
            <w:pPr>
              <w:pStyle w:val="Compact"/>
            </w:pPr>
            <w:r>
              <w:t xml:space="preserve">$2,326</w:t>
            </w:r>
          </w:p>
        </w:tc>
      </w:tr>
      <w:tr>
        <w:tc>
          <w:tcPr/>
          <w:p>
            <w:pPr>
              <w:pStyle w:val="Compact"/>
            </w:pPr>
            <w:r>
              <w:t xml:space="preserve">Total with indirects</w:t>
            </w:r>
          </w:p>
        </w:tc>
        <w:tc>
          <w:tcPr/>
          <w:p>
            <w:pPr>
              <w:pStyle w:val="Compact"/>
            </w:pPr>
          </w:p>
        </w:tc>
        <w:tc>
          <w:tcPr/>
          <w:p>
            <w:pPr>
              <w:pStyle w:val="Compact"/>
            </w:pPr>
            <w:r>
              <w:t xml:space="preserve">$31,406</w:t>
            </w:r>
          </w:p>
        </w:tc>
      </w:tr>
    </w:tbl>
    <w:bookmarkStart w:id="9" w:name="notes-and-justification"/>
    <w:p>
      <w:pPr>
        <w:pStyle w:val="Heading2"/>
      </w:pPr>
      <w:r>
        <w:t xml:space="preserve">Notes and justification</w:t>
      </w:r>
    </w:p>
    <w:p>
      <w:pPr>
        <w:pStyle w:val="FirstParagraph"/>
      </w:pPr>
      <w:r>
        <w:t xml:space="preserve">Participant payments are the largest and firmest line. Payment is $100 per completed session, prorated for partial completion and disbursed through the Department of Medicine, so under-enrollment or partial sessions only reduce this line, never exceed it.</w:t>
      </w:r>
    </w:p>
    <w:p>
      <w:pPr>
        <w:pStyle w:val="BodyText"/>
      </w:pPr>
      <w:r>
        <w:t xml:space="preserve">The coordinator covers recruitment and code distribution, completion monitoring, payment processing, per-batch data exports and quality checks, and assembly of the de-identified analysis dataset. Ten hours a week for six months is deliberately generous for an asynchronous single-site study; if enrollment completes quickly, four months (17 weeks, about $5,950 plus fringe) is realistic, and the fringe rate should be replaced with the actual rate for the hire’s classification.</w:t>
      </w:r>
    </w:p>
    <w:p>
      <w:pPr>
        <w:pStyle w:val="BodyText"/>
      </w:pPr>
      <w:r>
        <w:t xml:space="preserve">The interaction-pattern analysis requires two independent coders. If the second coder is a coauthor contributing effort in kind, the line can be dropped.</w:t>
      </w:r>
    </w:p>
    <w:p>
      <w:pPr>
        <w:pStyle w:val="BodyText"/>
      </w:pPr>
      <w:r>
        <w:t xml:space="preserve">AI usage is metered per conversation. A full session on the study model costs roughly $7 to $15 depending on conversation length, and only the 50 AI-arm residents incur it; the estimate includes headroom for piloting and QA. Hosting covers the study database and web platform through analysis. UpToDate access is through the existing Lane Library license at no cost, and IRB review (exempt), ClinicalTrials.gov, and OSF registration carry no fees. Platform development was completed before this budget period and is not requested.</w:t>
      </w:r>
    </w:p>
    <w:p>
      <w:pPr>
        <w:pStyle w:val="BodyText"/>
      </w:pPr>
      <w:r>
        <w:t xml:space="preserve">The optional lines are judgment calls. The primary analysis is a pre-specified two-arm comparison that the study team can run, but independent biostatistical review strengthens a submission to a high-visibility journal; the publication line covers an open-access fee if the accepting journal charges one. Indirect costs depend entirely on the funding mechanism (departmental funds typically carry none; the 8% line mirrors internal-award templates) and should be set to the sponsor’s rate.</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2026-08-25T23:39:13Z</dcterms:created>
  <dcterms:modified xsi:type="dcterms:W3CDTF">2026-08-25T23:39:13Z</dcterms:modified>
</cp:coreProperties>
</file>

<file path=docProps/custom.xml><?xml version="1.0" encoding="utf-8"?>
<Properties xmlns="http://schemas.openxmlformats.org/officeDocument/2006/custom-properties" xmlns:vt="http://schemas.openxmlformats.org/officeDocument/2006/docPropsVTypes"/>
</file>