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1A1A"/>
          <w:sz w:val="30"/>
          <w:szCs w:val="30"/>
        </w:rPr>
        <w:t xml:space="preserve">Fabry Disease Knowledge Assessment — Final 12-Question Set</w:t>
      </w:r>
    </w:p>
    <w:p>
      <w:pPr>
        <w:spacing w:after="60"/>
      </w:pPr>
      <w:r>
        <w:rPr>
          <w:color w:val="666666"/>
          <w:sz w:val="17"/>
          <w:szCs w:val="17"/>
        </w:rPr>
        <w:t xml:space="preserve">Stanford IRB-86737 · Selection rationale + pilot results · 2026-05-29</w:t>
      </w:r>
    </w:p>
    <w:p>
      <w:pPr>
        <w:spacing w:after="120"/>
      </w:pPr>
      <w:r>
        <w:rPr>
          <w:color w:val="333333"/>
          <w:sz w:val="17"/>
          <w:szCs w:val="17"/>
        </w:rPr>
        <w:t xml:space="preserve">Selection: keep the hardest / most discriminating items and the "learned-while-caring-for-a-patient" questions, each tied to a task domain but not directly asking the task’s answer (the angiokeratoma exam finding and the enzyme confirmatory test were cut as too on-the-nose). Plus the 0–10 comfort rating, repeated pre/post (not scored).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560"/>
        <w:gridCol w:w="4500"/>
        <w:gridCol w:w="1750"/>
        <w:gridCol w:w="5990"/>
        <w:gridCol w:w="1600"/>
      </w:tblGrid>
      <w:tr>
        <w:trPr>
          <w:tblHeader/>
        </w:trPr>
        <w:tc>
          <w:tcPr>
            <w:tcW w:type="dxa" w:w="560"/>
            <w:tcBorders>
              <w:top w:val="single" w:color="BBBBBB" w:sz="1"/>
              <w:left w:val="single" w:color="BBBBBB" w:sz="1"/>
              <w:bottom w:val="single" w:color="BBBBBB" w:sz="1"/>
              <w:right w:val="single" w:color="BBBBBB" w:sz="1"/>
            </w:tcBorders>
            <w:shd w:fill="E7EEF5" w:color="auto" w:val="clear"/>
            <w:tcMar>
              <w:top w:type="dxa" w:w="40"/>
              <w:left w:type="dxa" w:w="90"/>
              <w:bottom w:type="dxa" w:w="40"/>
              <w:right w:type="dxa" w:w="90"/>
            </w:tcMar>
          </w:tcPr>
          <w:p>
            <w:pPr>
              <w:jc w:val="center"/>
            </w:pPr>
            <w:r>
              <w:rPr>
                <w:b/>
                <w:bCs/>
                <w:color w:val="2E5E8C"/>
                <w:sz w:val="17"/>
                <w:szCs w:val="17"/>
              </w:rPr>
              <w:t xml:space="preserve">#</w:t>
            </w:r>
          </w:p>
        </w:tc>
        <w:tc>
          <w:tcPr>
            <w:tcW w:type="dxa" w:w="4500"/>
            <w:tcBorders>
              <w:top w:val="single" w:color="BBBBBB" w:sz="1"/>
              <w:left w:val="single" w:color="BBBBBB" w:sz="1"/>
              <w:bottom w:val="single" w:color="BBBBBB" w:sz="1"/>
              <w:right w:val="single" w:color="BBBBBB" w:sz="1"/>
            </w:tcBorders>
            <w:shd w:fill="E7EEF5" w:color="auto" w:val="clear"/>
            <w:tcMar>
              <w:top w:type="dxa" w:w="40"/>
              <w:left w:type="dxa" w:w="90"/>
              <w:bottom w:type="dxa" w:w="40"/>
              <w:right w:type="dxa" w:w="90"/>
            </w:tcMar>
          </w:tcPr>
          <w:p>
            <w:pPr>
              <w:jc w:val="left"/>
            </w:pPr>
            <w:r>
              <w:rPr>
                <w:b/>
                <w:bCs/>
                <w:color w:val="2E5E8C"/>
                <w:sz w:val="17"/>
                <w:szCs w:val="17"/>
              </w:rPr>
              <w:t xml:space="preserve">Question</w:t>
            </w:r>
          </w:p>
        </w:tc>
        <w:tc>
          <w:tcPr>
            <w:tcW w:type="dxa" w:w="1750"/>
            <w:tcBorders>
              <w:top w:val="single" w:color="BBBBBB" w:sz="1"/>
              <w:left w:val="single" w:color="BBBBBB" w:sz="1"/>
              <w:bottom w:val="single" w:color="BBBBBB" w:sz="1"/>
              <w:right w:val="single" w:color="BBBBBB" w:sz="1"/>
            </w:tcBorders>
            <w:shd w:fill="E7EEF5" w:color="auto" w:val="clear"/>
            <w:tcMar>
              <w:top w:type="dxa" w:w="40"/>
              <w:left w:type="dxa" w:w="90"/>
              <w:bottom w:type="dxa" w:w="40"/>
              <w:right w:type="dxa" w:w="90"/>
            </w:tcMar>
          </w:tcPr>
          <w:p>
            <w:pPr>
              <w:jc w:val="left"/>
            </w:pPr>
            <w:r>
              <w:rPr>
                <w:b/>
                <w:bCs/>
                <w:color w:val="2E5E8C"/>
                <w:sz w:val="17"/>
                <w:szCs w:val="17"/>
              </w:rPr>
              <w:t xml:space="preserve">Task area</w:t>
            </w:r>
          </w:p>
        </w:tc>
        <w:tc>
          <w:tcPr>
            <w:tcW w:type="dxa" w:w="5990"/>
            <w:tcBorders>
              <w:top w:val="single" w:color="BBBBBB" w:sz="1"/>
              <w:left w:val="single" w:color="BBBBBB" w:sz="1"/>
              <w:bottom w:val="single" w:color="BBBBBB" w:sz="1"/>
              <w:right w:val="single" w:color="BBBBBB" w:sz="1"/>
            </w:tcBorders>
            <w:shd w:fill="E7EEF5" w:color="auto" w:val="clear"/>
            <w:tcMar>
              <w:top w:type="dxa" w:w="40"/>
              <w:left w:type="dxa" w:w="90"/>
              <w:bottom w:type="dxa" w:w="40"/>
              <w:right w:type="dxa" w:w="90"/>
            </w:tcMar>
          </w:tcPr>
          <w:p>
            <w:pPr>
              <w:jc w:val="left"/>
            </w:pPr>
            <w:r>
              <w:rPr>
                <w:b/>
                <w:bCs/>
                <w:color w:val="2E5E8C"/>
                <w:sz w:val="17"/>
                <w:szCs w:val="17"/>
              </w:rPr>
              <w:t xml:space="preserve">Why it was kept</w:t>
            </w:r>
          </w:p>
        </w:tc>
        <w:tc>
          <w:tcPr>
            <w:tcW w:type="dxa" w:w="1600"/>
            <w:tcBorders>
              <w:top w:val="single" w:color="BBBBBB" w:sz="1"/>
              <w:left w:val="single" w:color="BBBBBB" w:sz="1"/>
              <w:bottom w:val="single" w:color="BBBBBB" w:sz="1"/>
              <w:right w:val="single" w:color="BBBBBB" w:sz="1"/>
            </w:tcBorders>
            <w:shd w:fill="E7EEF5" w:color="auto" w:val="clear"/>
            <w:tcMar>
              <w:top w:type="dxa" w:w="40"/>
              <w:left w:type="dxa" w:w="90"/>
              <w:bottom w:type="dxa" w:w="40"/>
              <w:right w:type="dxa" w:w="90"/>
            </w:tcMar>
          </w:tcPr>
          <w:p>
            <w:pPr>
              <w:jc w:val="center"/>
            </w:pPr>
            <w:r>
              <w:rPr>
                <w:b/>
                <w:bCs/>
                <w:color w:val="2E5E8C"/>
                <w:sz w:val="17"/>
                <w:szCs w:val="17"/>
              </w:rPr>
              <w:t xml:space="preserve">Pilot result</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1</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Q1 — Acroparesthesia triggered by heat, fever, and exertion (not cold)</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History</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Classic Fabry pain pattern; tests the common "cold-trigger" misconception. Discriminating.</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4/6 (67%)</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2</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Q3 — Chronic GI symptoms long misattributed to irritable bowel syndrome</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History</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A frequently-missed Fabry manifestation; rewards seeing it as part of the disease, not separate.</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5/6 (83%)</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3</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Q5 — Cornea verticillata is also drug-induced (amiodarone, chloroquine)</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Exam</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Hardest item. Tests that the "classic" eye sign is not pathognomonic — a key bedside nuance.</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1/6 (17%)</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4</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Q6 — Small-fiber–selective sensory loss (pinprick/temp lost, vibration spared)</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Exam</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Distinguishes Fabry small-fiber neuropathy from the diabetic "stocking-glove" pattern.</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4/6 (67%)</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5</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Q9 — Short PR interval on the ECG</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Workup</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Subtle cardiac clue you learn to look for; strong discriminator among residents.</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3/6 (50%)</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6</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Q10 — Migalastat works only for patients with "amenable" GLA mutations</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Management</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Practical, genotype-specific therapy nuance; not all Fabry patients are eligible.</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5/6 (83%)</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7</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Q12 — Counseling: an affected man passes it to all daughters, no sons</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Patient instructions</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X-linked counseling done at the visit; trap of autosomal-dominant 50/50 thinking.</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5/6 (83%)</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8</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Q23 — Progressive conduction disease leading to pacemaker / ICD placement</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Management (cardiac)</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Long-term cardiac care learned while managing Fabry patients; beyond the LVH everyone names.</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no pilot data</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9</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Q24 — Plasma lyso-Gb3 to monitor response to enzyme replacement therapy</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Workup / monitoring</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Learned following a patient on treatment; a monitoring marker, not the diagnostic test.</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no pilot data</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10</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Q25 — Increased risk of small-vessel stroke (posterior circulation)</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Neurology</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Major Fabry complication and a reason these patients present young with stroke.</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no pilot data</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11</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Q26 — Hypohidrosis and heat intolerance (rarely sweats, cannot tolerate heat)</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Autonomic</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A common patient-reported complaint that, recognized, points toward Fabry.</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no pilot data</w:t>
            </w:r>
          </w:p>
        </w:tc>
      </w:tr>
      <w:tr>
        <w:tc>
          <w:tcPr>
            <w:tcW w:type="dxa" w:w="56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12</w:t>
            </w:r>
          </w:p>
        </w:tc>
        <w:tc>
          <w:tcPr>
            <w:tcW w:type="dxa" w:w="45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bCs/>
                <w:color w:val="1A1A1A"/>
                <w:sz w:val="17"/>
                <w:szCs w:val="17"/>
              </w:rPr>
              <w:t xml:space="preserve">Q27 — After kidney transplant the graft is spared, but heart/brain progress</w:t>
            </w:r>
          </w:p>
        </w:tc>
        <w:tc>
          <w:tcPr>
            <w:tcW w:type="dxa" w:w="175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Management</w:t>
            </w:r>
          </w:p>
        </w:tc>
        <w:tc>
          <w:tcPr>
            <w:tcW w:type="dxa" w:w="599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left"/>
            </w:pPr>
            <w:r>
              <w:rPr>
                <w:b w:val="false"/>
                <w:bCs w:val="false"/>
                <w:color w:val="1A1A1A"/>
                <w:sz w:val="17"/>
                <w:szCs w:val="17"/>
              </w:rPr>
              <w:t xml:space="preserve">End-stage care knowledge; corrects the "transplant cures it" misconception.</w:t>
            </w:r>
          </w:p>
        </w:tc>
        <w:tc>
          <w:tcPr>
            <w:tcW w:type="dxa" w:w="1600"/>
            <w:tcBorders>
              <w:top w:val="single" w:color="BBBBBB" w:sz="1"/>
              <w:left w:val="single" w:color="BBBBBB" w:sz="1"/>
              <w:bottom w:val="single" w:color="BBBBBB" w:sz="1"/>
              <w:right w:val="single" w:color="BBBBBB" w:sz="1"/>
            </w:tcBorders>
            <w:tcMar>
              <w:top w:type="dxa" w:w="40"/>
              <w:left w:type="dxa" w:w="90"/>
              <w:bottom w:type="dxa" w:w="40"/>
              <w:right w:type="dxa" w:w="90"/>
            </w:tcMar>
          </w:tcPr>
          <w:p>
            <w:pPr>
              <w:jc w:val="center"/>
            </w:pPr>
            <w:r>
              <w:rPr>
                <w:b w:val="false"/>
                <w:bCs w:val="false"/>
                <w:color w:val="1A1A1A"/>
                <w:sz w:val="17"/>
                <w:szCs w:val="17"/>
              </w:rPr>
              <w:t xml:space="preserve">no pilot data</w:t>
            </w:r>
          </w:p>
        </w:tc>
      </w:tr>
    </w:tbl>
    <w:p>
      <w:pPr>
        <w:spacing w:before="140"/>
      </w:pPr>
      <w:r>
        <w:rPr>
          <w:i/>
          <w:iCs/>
          <w:color w:val="666666"/>
          <w:sz w:val="16"/>
          <w:szCs w:val="16"/>
        </w:rPr>
        <w:t xml:space="preserve">Pilot results: n = 6 residents (mixed arms) on the seven questions that existed during the pilot round, scored against the current answer key. Mean 4.5 / 7 (64%), SD ≈ 1.8 (≈25 percentage points). These pilots saw the earlier, easier distractor wording, so live scores on the revised items will likely run lower. Q23–Q27 were added after the pilot round and have no cohort data. Full per-participant data is preserved in docs/pilot-data-snapshot-2026-05-29/.</w:t>
      </w:r>
    </w:p>
    <w:sectPr>
      <w:pgSz w:w="15840" w:h="12240" w:orient="landscape"/>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2026-06-30T15:23:49.518Z</dcterms:created>
  <dcterms:modified xsi:type="dcterms:W3CDTF">2026-06-30T15:23:49.519Z</dcterms:modified>
</cp:coreProperties>
</file>

<file path=docProps/custom.xml><?xml version="1.0" encoding="utf-8"?>
<Properties xmlns="http://schemas.openxmlformats.org/officeDocument/2006/custom-properties" xmlns:vt="http://schemas.openxmlformats.org/officeDocument/2006/docPropsVTypes"/>
</file>