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budget-skill-ai-rct"/>
    <w:p>
      <w:pPr>
        <w:pStyle w:val="Heading1"/>
      </w:pPr>
      <w:r>
        <w:t xml:space="preserve">Budget, Skill AI RCT</w:t>
      </w:r>
    </w:p>
    <w:p>
      <w:pPr>
        <w:pStyle w:val="FirstParagraph"/>
      </w:pPr>
      <w:r>
        <w:t xml:space="preserve">Total request is approximately $37,600 in direct costs, or about $31,800 without the optional biostatistics and publication lines. The largest assumptions are a six-month project period, full enrollment of 100 residents, PI effort at 5% FTE against a placeholder base salary of $250,000, and a coordinator at 10 hr/wk. All scale linearly and are itemized so any can be adjusted. Planning-level budgets for the follow-on study appear at the end in two versions.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payments</w:t>
            </w:r>
          </w:p>
        </w:tc>
        <w:tc>
          <w:tcPr/>
          <w:p>
            <w:pPr>
              <w:pStyle w:val="Compact"/>
            </w:pPr>
            <w:r>
              <w:t xml:space="preserve">100 residents at $100 each</w:t>
            </w:r>
          </w:p>
        </w:tc>
        <w:tc>
          <w:tcPr/>
          <w:p>
            <w:pPr>
              <w:pStyle w:val="Compact"/>
            </w:pPr>
            <w:r>
              <w:t xml:space="preserve">$10,000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 salary (Keet)</w:t>
            </w:r>
          </w:p>
        </w:tc>
        <w:tc>
          <w:tcPr/>
          <w:p>
            <w:pPr>
              <w:pStyle w:val="Compact"/>
            </w:pPr>
            <w:r>
              <w:t xml:space="preserve">5% FTE for 6 months; placeholder base $250,000</w:t>
            </w:r>
          </w:p>
        </w:tc>
        <w:tc>
          <w:tcPr/>
          <w:p>
            <w:pPr>
              <w:pStyle w:val="Compact"/>
            </w:pPr>
            <w:r>
              <w:t xml:space="preserve">$6,250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 fringe</w:t>
            </w:r>
          </w:p>
        </w:tc>
        <w:tc>
          <w:tcPr/>
          <w:p>
            <w:pPr>
              <w:pStyle w:val="Compact"/>
            </w:pPr>
            <w:r>
              <w:t xml:space="preserve">30% faculty placeholder; use the current institutional rate</w:t>
            </w:r>
          </w:p>
        </w:tc>
        <w:tc>
          <w:tcPr/>
          <w:p>
            <w:pPr>
              <w:pStyle w:val="Compact"/>
            </w:pPr>
            <w:r>
              <w:t xml:space="preserve">$1,875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coordinator</w:t>
            </w:r>
          </w:p>
        </w:tc>
        <w:tc>
          <w:tcPr/>
          <w:p>
            <w:pPr>
              <w:pStyle w:val="Compact"/>
            </w:pPr>
            <w:r>
              <w:t xml:space="preserve">$35/hr, 10 hr/wk, 26 weeks</w:t>
            </w:r>
          </w:p>
        </w:tc>
        <w:tc>
          <w:tcPr/>
          <w:p>
            <w:pPr>
              <w:pStyle w:val="Compact"/>
            </w:pPr>
            <w:r>
              <w:t xml:space="preserve">$9,100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fringe</w:t>
            </w:r>
          </w:p>
        </w:tc>
        <w:tc>
          <w:tcPr/>
          <w:p>
            <w:pPr>
              <w:pStyle w:val="Compact"/>
            </w:pPr>
            <w:r>
              <w:t xml:space="preserve">10% placeholder; use the rate for the hire’s employee class</w:t>
            </w:r>
          </w:p>
        </w:tc>
        <w:tc>
          <w:tcPr/>
          <w:p>
            <w:pPr>
              <w:pStyle w:val="Compact"/>
            </w:pPr>
            <w:r>
              <w:t xml:space="preserve">$910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 qualitative coder</w:t>
            </w:r>
          </w:p>
        </w:tc>
        <w:tc>
          <w:tcPr/>
          <w:p>
            <w:pPr>
              <w:pStyle w:val="Compact"/>
            </w:pPr>
            <w:r>
              <w:t xml:space="preserve">20 hr at $35/hr plus fringe, for dual coding of AI transcripts</w:t>
            </w:r>
          </w:p>
        </w:tc>
        <w:tc>
          <w:tcPr/>
          <w:p>
            <w:pPr>
              <w:pStyle w:val="Compact"/>
            </w:pPr>
            <w:r>
              <w:t xml:space="preserve">$770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usage (Anthropic API)</w:t>
            </w:r>
          </w:p>
        </w:tc>
        <w:tc>
          <w:tcPr/>
          <w:p>
            <w:pPr>
              <w:pStyle w:val="Compact"/>
            </w:pPr>
            <w:r>
              <w:t xml:space="preserve">~50 AI-arm sessions at ~$15 each, plus testing headroom</w:t>
            </w:r>
          </w:p>
        </w:tc>
        <w:tc>
          <w:tcPr/>
          <w:p>
            <w:pPr>
              <w:pStyle w:val="Compact"/>
            </w:pPr>
            <w:r>
              <w:t xml:space="preserve">$1,000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Supabase Pro and Vercel, ~$50/mo for 8 months</w:t>
            </w:r>
          </w:p>
        </w:tc>
        <w:tc>
          <w:tcPr/>
          <w:p>
            <w:pPr>
              <w:pStyle w:val="Compact"/>
            </w:pPr>
            <w:r>
              <w:t xml:space="preserve">$400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Biostatistics consultation (optional)</w:t>
            </w:r>
          </w:p>
        </w:tc>
        <w:tc>
          <w:tcPr/>
          <w:p>
            <w:pPr>
              <w:pStyle w:val="Compact"/>
            </w:pPr>
            <w:r>
              <w:t xml:space="preserve">~10 hr, e.g. Stanford QSU</w:t>
            </w:r>
          </w:p>
        </w:tc>
        <w:tc>
          <w:tcPr/>
          <w:p>
            <w:pPr>
              <w:pStyle w:val="Compact"/>
            </w:pPr>
            <w:r>
              <w:t xml:space="preserve">$2,000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and open access (optional)</w:t>
            </w:r>
          </w:p>
        </w:tc>
        <w:tc>
          <w:tcPr/>
          <w:p>
            <w:pPr>
              <w:pStyle w:val="Compact"/>
            </w:pPr>
            <w:r>
              <w:t xml:space="preserve">article processing or open-access fee at submission</w:t>
            </w:r>
          </w:p>
        </w:tc>
        <w:tc>
          <w:tcPr/>
          <w:p>
            <w:pPr>
              <w:pStyle w:val="Compact"/>
            </w:pPr>
            <w:r>
              <w:t xml:space="preserve">$3,500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</w:t>
            </w:r>
          </w:p>
        </w:tc>
        <w:tc>
          <w:tcPr/>
          <w:p>
            <w:pPr>
              <w:pStyle w:val="Compact"/>
            </w:pPr>
            <w:r>
              <w:t xml:space="preserve">~5% of direct costs</w:t>
            </w:r>
          </w:p>
        </w:tc>
        <w:tc>
          <w:tcPr/>
          <w:p>
            <w:pPr>
              <w:pStyle w:val="Compact"/>
            </w:pPr>
            <w:r>
              <w:t xml:space="preserve">$1,790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$37,595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Indirect costs (if required)</w:t>
            </w:r>
          </w:p>
        </w:tc>
        <w:tc>
          <w:tcPr/>
          <w:p>
            <w:pPr>
              <w:pStyle w:val="Compact"/>
            </w:pPr>
            <w:r>
              <w:t xml:space="preserve">shown at 8% as an example; depends on funding mechanism</w:t>
            </w:r>
          </w:p>
        </w:tc>
        <w:tc>
          <w:tcPr/>
          <w:p>
            <w:pPr>
              <w:pStyle w:val="Compact"/>
            </w:pPr>
            <w:r>
              <w:t xml:space="preserve">$3,008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with indirects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$40,603</w:t>
            </w:r>
          </w:p>
        </w:tc>
      </w:tr>
    </w:tbl>
    <w:bookmarkStart w:id="9" w:name="notes-and-justification"/>
    <w:p>
      <w:pPr>
        <w:pStyle w:val="Heading2"/>
      </w:pPr>
      <w:r>
        <w:t xml:space="preserve">Notes and justification</w:t>
      </w:r>
    </w:p>
    <w:p>
      <w:pPr>
        <w:pStyle w:val="FirstParagraph"/>
      </w:pPr>
      <w:r>
        <w:t xml:space="preserve">Participant payments are the largest and firmest line. Payment is $100 per completed session, prorated for partial completion and disbursed through the Department of Medicine, so under-enrollment or partial sessions only reduce this line, never exceed it.</w:t>
      </w:r>
    </w:p>
    <w:p>
      <w:pPr>
        <w:pStyle w:val="BodyText"/>
      </w:pPr>
      <w:r>
        <w:t xml:space="preserve">PI effort covers protocol oversight, clinical content ownership, IRB correspondence, recruitment liaison to the residency program, supervision of the qualitative coding, analysis, and manuscript preparation. The line is computed as 5% of institutional base salary for the six-month project period; replace the placeholder base and fringe rate with current figures, and note that federally funded budgets are subject to the NIH salary cap.</w:t>
      </w:r>
    </w:p>
    <w:p>
      <w:pPr>
        <w:pStyle w:val="BodyText"/>
      </w:pPr>
      <w:r>
        <w:t xml:space="preserve">The coordinator covers recruitment and code distribution, completion monitoring, payment processing, per-batch data exports and quality checks, and assembly of the de-identified analysis dataset. Ten hours a week for six months is deliberately generous for an asynchronous single-site study; if enrollment completes quickly, four months (about $5,950 plus fringe) is realistic.</w:t>
      </w:r>
    </w:p>
    <w:p>
      <w:pPr>
        <w:pStyle w:val="BodyText"/>
      </w:pPr>
      <w:r>
        <w:t xml:space="preserve">The interaction-pattern analysis requires two independent coders; if the second coder is a coauthor contributing effort in kind, the line can be dropped. AI usage is metered per conversation at roughly $7 to $15 per session, incurred only by the 50 AI-arm residents, with headroom for piloting. Hosting covers the study database and platform through analysis. UpToDate access is through the existing Lane Library license at no cost; IRB review (exempt), ClinicalTrials.gov, and OSF carry no fees; platform development was completed before this budget period and is not requested. The optional lines are judgment calls: the primary analysis is a pre-specified two-arm comparison the study team can run, but independent biostatistical review strengthens a submission to a high-visibility journal, and the publication line covers an open-access fee if the accepting journal charges one. Indirect costs depend on the funding mechanism and should be set to the sponsor’s rate.</w:t>
      </w:r>
    </w:p>
    <w:bookmarkEnd w:id="9"/>
    <w:bookmarkStart w:id="10" w:name="follow-on-study-options-planning-figures"/>
    <w:p>
      <w:pPr>
        <w:pStyle w:val="Heading2"/>
      </w:pPr>
      <w:r>
        <w:t xml:space="preserve">Follow-on study options (planning figures)</w:t>
      </w:r>
    </w:p>
    <w:p>
      <w:pPr>
        <w:pStyle w:val="FirstParagraph"/>
      </w:pPr>
      <w:r>
        <w:t xml:space="preserve">The present trial establishes whether an out-of-the-box assistant builds or bypasses knowledge. Two natural next studies follow, and the figures below are planning-level estimates for whichever is chosen, not committed budgets. Both carry the same PI formula (5% FTE against the placeholder base, scaled to the project period).</w:t>
      </w:r>
    </w:p>
    <w:p>
      <w:pPr>
        <w:pStyle w:val="BodyText"/>
      </w:pPr>
      <w:r>
        <w:rPr>
          <w:b/>
          <w:bCs/>
        </w:rPr>
        <w:t xml:space="preserve">Option A. Intervention trial: teaching skill-preserving AI behaviors (single site, n = 100, ~6 months).</w:t>
      </w:r>
      <w:r>
        <w:t xml:space="preserve"> </w:t>
      </w:r>
      <w:r>
        <w:t xml:space="preserve">Residents are randomized to a brief workshop teaching engaged interaction patterns or to a delayed-workshop control, and both arms then complete a case with the AI assistant followed by the resource-free assessment on the existing platform. The coordinator remains at 10 hr/wk because workshop sessions must be scheduled into protected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payments</w:t>
            </w:r>
          </w:p>
        </w:tc>
        <w:tc>
          <w:tcPr/>
          <w:p>
            <w:pPr>
              <w:pStyle w:val="Compact"/>
            </w:pPr>
            <w:r>
              <w:t xml:space="preserve">100 at $100, plus $50 workshop supplement for the intervention arm</w:t>
            </w:r>
          </w:p>
        </w:tc>
        <w:tc>
          <w:tcPr/>
          <w:p>
            <w:pPr>
              <w:pStyle w:val="Compact"/>
            </w:pPr>
            <w:r>
              <w:t xml:space="preserve">$12,500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 salary and fringe</w:t>
            </w:r>
          </w:p>
        </w:tc>
        <w:tc>
          <w:tcPr/>
          <w:p>
            <w:pPr>
              <w:pStyle w:val="Compact"/>
            </w:pPr>
            <w:r>
              <w:t xml:space="preserve">5% FTE, 6 months, placeholder base</w:t>
            </w:r>
          </w:p>
        </w:tc>
        <w:tc>
          <w:tcPr/>
          <w:p>
            <w:pPr>
              <w:pStyle w:val="Compact"/>
            </w:pPr>
            <w:r>
              <w:t xml:space="preserve">$8,125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coordinator</w:t>
            </w:r>
          </w:p>
        </w:tc>
        <w:tc>
          <w:tcPr/>
          <w:p>
            <w:pPr>
              <w:pStyle w:val="Compact"/>
            </w:pPr>
            <w:r>
              <w:t xml:space="preserve">10 hr/wk at $35/hr, 26 weeks, plus 10% fringe</w:t>
            </w:r>
          </w:p>
        </w:tc>
        <w:tc>
          <w:tcPr/>
          <w:p>
            <w:pPr>
              <w:pStyle w:val="Compact"/>
            </w:pPr>
            <w:r>
              <w:t xml:space="preserve">$10,010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Workshop materials and curriculum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usage</w:t>
            </w:r>
          </w:p>
        </w:tc>
        <w:tc>
          <w:tcPr/>
          <w:p>
            <w:pPr>
              <w:pStyle w:val="Compact"/>
            </w:pPr>
            <w:r>
              <w:t xml:space="preserve">both arms use the assistant during the case, ~100 sessions</w:t>
            </w:r>
          </w:p>
        </w:tc>
        <w:tc>
          <w:tcPr/>
          <w:p>
            <w:pPr>
              <w:pStyle w:val="Compact"/>
            </w:pPr>
            <w:r>
              <w:t xml:space="preserve">$1,500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$400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 qualitative coder</w:t>
            </w:r>
          </w:p>
        </w:tc>
        <w:tc>
          <w:tcPr/>
          <w:p>
            <w:pPr>
              <w:pStyle w:val="Compact"/>
            </w:pPr>
            <w:r>
              <w:t xml:space="preserve">~30 hr plus fringe; transcripts from both arms</w:t>
            </w:r>
          </w:p>
        </w:tc>
        <w:tc>
          <w:tcPr/>
          <w:p>
            <w:pPr>
              <w:pStyle w:val="Compact"/>
            </w:pPr>
            <w:r>
              <w:t xml:space="preserve">$1,000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Biostatistics consultation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$2,000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</w:t>
            </w:r>
          </w:p>
        </w:tc>
        <w:tc>
          <w:tcPr/>
          <w:p>
            <w:pPr>
              <w:pStyle w:val="Compact"/>
            </w:pPr>
            <w:r>
              <w:t xml:space="preserve">~5%</w:t>
            </w:r>
          </w:p>
        </w:tc>
        <w:tc>
          <w:tcPr/>
          <w:p>
            <w:pPr>
              <w:pStyle w:val="Compact"/>
            </w:pPr>
            <w:r>
              <w:t xml:space="preserve">$1,800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$37,835</w:t>
            </w:r>
          </w:p>
        </w:tc>
      </w:tr>
    </w:tbl>
    <w:p>
      <w:pPr>
        <w:pStyle w:val="BodyText"/>
      </w:pPr>
      <w:r>
        <w:rPr>
          <w:b/>
          <w:bCs/>
        </w:rPr>
        <w:t xml:space="preserve">Option B. Multi-site replication of the present trial (3 to 4 sites, n = 150, ~9 months).</w:t>
      </w:r>
      <w:r>
        <w:t xml:space="preserve"> </w:t>
      </w:r>
      <w:r>
        <w:t xml:space="preserve">The same asynchronous protocol run at collaborating residency programs, which strengthens generalizability, the main limitation of the single-site design. The coordinator runs 9 months for site onboarding, IRB reliance agreements, and cross-site pooling; site leads are typically coauthors contributing effort in kind, with modest site stipends included.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payments</w:t>
            </w:r>
          </w:p>
        </w:tc>
        <w:tc>
          <w:tcPr/>
          <w:p>
            <w:pPr>
              <w:pStyle w:val="Compact"/>
            </w:pPr>
            <w:r>
              <w:t xml:space="preserve">150 at $100</w:t>
            </w:r>
          </w:p>
        </w:tc>
        <w:tc>
          <w:tcPr/>
          <w:p>
            <w:pPr>
              <w:pStyle w:val="Compact"/>
            </w:pPr>
            <w:r>
              <w:t xml:space="preserve">$15,000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 salary and fringe</w:t>
            </w:r>
          </w:p>
        </w:tc>
        <w:tc>
          <w:tcPr/>
          <w:p>
            <w:pPr>
              <w:pStyle w:val="Compact"/>
            </w:pPr>
            <w:r>
              <w:t xml:space="preserve">5% FTE, 9 months, placeholder base</w:t>
            </w:r>
          </w:p>
        </w:tc>
        <w:tc>
          <w:tcPr/>
          <w:p>
            <w:pPr>
              <w:pStyle w:val="Compact"/>
            </w:pPr>
            <w:r>
              <w:t xml:space="preserve">$12,188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coordinator</w:t>
            </w:r>
          </w:p>
        </w:tc>
        <w:tc>
          <w:tcPr/>
          <w:p>
            <w:pPr>
              <w:pStyle w:val="Compact"/>
            </w:pPr>
            <w:r>
              <w:t xml:space="preserve">10 hr/wk at $35/hr, 39 weeks, plus 10% fringe</w:t>
            </w:r>
          </w:p>
        </w:tc>
        <w:tc>
          <w:tcPr/>
          <w:p>
            <w:pPr>
              <w:pStyle w:val="Compact"/>
            </w:pPr>
            <w:r>
              <w:t xml:space="preserve">$15,015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stipends</w:t>
            </w:r>
          </w:p>
        </w:tc>
        <w:tc>
          <w:tcPr/>
          <w:p>
            <w:pPr>
              <w:pStyle w:val="Compact"/>
            </w:pPr>
            <w:r>
              <w:t xml:space="preserve">3 collaborating sites at $1,000</w:t>
            </w:r>
          </w:p>
        </w:tc>
        <w:tc>
          <w:tcPr/>
          <w:p>
            <w:pPr>
              <w:pStyle w:val="Compact"/>
            </w:pPr>
            <w:r>
              <w:t xml:space="preserve">$3,000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usage</w:t>
            </w:r>
          </w:p>
        </w:tc>
        <w:tc>
          <w:tcPr/>
          <w:p>
            <w:pPr>
              <w:pStyle w:val="Compact"/>
            </w:pPr>
            <w:r>
              <w:t xml:space="preserve">~75 AI-arm sessions</w:t>
            </w:r>
          </w:p>
        </w:tc>
        <w:tc>
          <w:tcPr/>
          <w:p>
            <w:pPr>
              <w:pStyle w:val="Compact"/>
            </w:pPr>
            <w:r>
              <w:t xml:space="preserve">$1,200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12 months</w:t>
            </w:r>
          </w:p>
        </w:tc>
        <w:tc>
          <w:tcPr/>
          <w:p>
            <w:pPr>
              <w:pStyle w:val="Compact"/>
            </w:pPr>
            <w:r>
              <w:t xml:space="preserve">$600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 qualitative coder</w:t>
            </w:r>
          </w:p>
        </w:tc>
        <w:tc>
          <w:tcPr/>
          <w:p>
            <w:pPr>
              <w:pStyle w:val="Compact"/>
            </w:pPr>
            <w:r>
              <w:t xml:space="preserve">~40 hr plus fringe</w:t>
            </w:r>
          </w:p>
        </w:tc>
        <w:tc>
          <w:tcPr/>
          <w:p>
            <w:pPr>
              <w:pStyle w:val="Compact"/>
            </w:pPr>
            <w:r>
              <w:t xml:space="preserve">$1,540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Biostatistics consultation</w:t>
            </w:r>
          </w:p>
        </w:tc>
        <w:tc>
          <w:tcPr/>
          <w:p>
            <w:pPr>
              <w:pStyle w:val="Compact"/>
            </w:pPr>
            <w:r>
              <w:t xml:space="preserve">site-effect models</w:t>
            </w:r>
          </w:p>
        </w:tc>
        <w:tc>
          <w:tcPr/>
          <w:p>
            <w:pPr>
              <w:pStyle w:val="Compact"/>
            </w:pPr>
            <w:r>
              <w:t xml:space="preserve">$3,000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</w:t>
            </w:r>
          </w:p>
        </w:tc>
        <w:tc>
          <w:tcPr/>
          <w:p>
            <w:pPr>
              <w:pStyle w:val="Compact"/>
            </w:pPr>
            <w:r>
              <w:t xml:space="preserve">~5%</w:t>
            </w:r>
          </w:p>
        </w:tc>
        <w:tc>
          <w:tcPr/>
          <w:p>
            <w:pPr>
              <w:pStyle w:val="Compact"/>
            </w:pPr>
            <w:r>
              <w:t xml:space="preserve">$2,577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$54,120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2026-08-25T23:44:30Z</dcterms:created>
  <dcterms:modified xsi:type="dcterms:W3CDTF">2026-08-25T23:44:30Z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