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6e98cf6afdc20909884c0886158359efc905c2"/>
    <w:p>
      <w:pPr>
        <w:pStyle w:val="Heading1"/>
      </w:pPr>
      <w:r>
        <w:t xml:space="preserve">Annotated Literature Review — AI, Skill Formation, and Medical Education</w:t>
      </w:r>
    </w:p>
    <w:p>
      <w:pPr>
        <w:pStyle w:val="FirstParagraph"/>
      </w:pPr>
      <w:r>
        <w:rPr>
          <w:b/>
          <w:bCs/>
        </w:rPr>
        <w:t xml:space="preserve">For:</w:t>
      </w:r>
      <w:r>
        <w:t xml:space="preserve"> </w:t>
      </w:r>
      <w:r>
        <w:rPr>
          <w:i/>
          <w:iCs/>
        </w:rPr>
        <w:t xml:space="preserve">Does an AI Assistant Help Internal Medicine Residents Learn, or Only Perform?</w:t>
      </w:r>
      <w:r>
        <w:t xml:space="preserve"> </w:t>
      </w:r>
      <w:r>
        <w:t xml:space="preserve">(NEJM AI manuscript)</w:t>
      </w:r>
      <w:r>
        <w:t xml:space="preserve"> </w:t>
      </w:r>
      <w:r>
        <w:rPr>
          <w:b/>
          <w:bCs/>
        </w:rPr>
        <w:t xml:space="preserve">Compiled:</w:t>
      </w:r>
      <w:r>
        <w:t xml:space="preserve"> </w:t>
      </w:r>
      <w:r>
        <w:t xml:space="preserve">2026-06-30 ·</w:t>
      </w:r>
      <w:r>
        <w:t xml:space="preserve"> </w:t>
      </w:r>
      <w:r>
        <w:rPr>
          <w:b/>
          <w:bCs/>
        </w:rPr>
        <w:t xml:space="preserve">Legend:</w:t>
      </w:r>
      <w:r>
        <w:t xml:space="preserve"> </w:t>
      </w:r>
      <w:r>
        <w:t xml:space="preserve">✓ = already cited in the manuscript ·</w:t>
      </w:r>
      <w:r>
        <w:t xml:space="preserve"> </w:t>
      </w:r>
      <w:r>
        <w:rPr>
          <w:b/>
          <w:bCs/>
        </w:rPr>
        <w:t xml:space="preserve">NEW</w:t>
      </w:r>
      <w:r>
        <w:t xml:space="preserve"> </w:t>
      </w:r>
      <w:r>
        <w:t xml:space="preserve">= candidate to add</w:t>
      </w:r>
    </w:p>
    <w:p>
      <w:pPr>
        <w:pStyle w:val="BlockText"/>
      </w:pPr>
      <w:r>
        <w:rPr>
          <w:b/>
          <w:bCs/>
        </w:rPr>
        <w:t xml:space="preserve">Is the current review robust enough?</w:t>
      </w:r>
      <w:r>
        <w:t xml:space="preserve"> </w:t>
      </w:r>
      <w:r>
        <w:t xml:space="preserve">The manuscript’s 17 references cover the core well, but for a top venue it reads as</w:t>
      </w:r>
      <w:r>
        <w:t xml:space="preserve"> </w:t>
      </w:r>
      <w:r>
        <w:rPr>
          <w:i/>
          <w:iCs/>
        </w:rPr>
        <w:t xml:space="preserve">selective</w:t>
      </w:r>
      <w:r>
        <w:t xml:space="preserve">. Three gaps would draw reviewer attention: (1) the broader</w:t>
      </w:r>
      <w:r>
        <w:t xml:space="preserve"> </w:t>
      </w:r>
      <w:r>
        <w:t xml:space="preserve">“AI changes cognition”</w:t>
      </w:r>
      <w:r>
        <w:t xml:space="preserve"> </w:t>
      </w:r>
      <w:r>
        <w:t xml:space="preserve">evidence outside medicine that</w:t>
      </w:r>
      <w:r>
        <w:t xml:space="preserve"> </w:t>
      </w:r>
      <w:r>
        <w:rPr>
          <w:i/>
          <w:iCs/>
        </w:rPr>
        <w:t xml:space="preserve">NEJM AI</w:t>
      </w:r>
      <w:r>
        <w:t xml:space="preserve"> </w:t>
      </w:r>
      <w:r>
        <w:t xml:space="preserve">readers expect (Lee/Microsoft; Kosmyna/MIT); (2) the classical automation-and-deskilling foundations that give the construct depth (Bainbridge; Sparrow; GPS/navigation); and (3)</w:t>
      </w:r>
      <w:r>
        <w:t xml:space="preserve"> </w:t>
      </w:r>
      <w:r>
        <w:rPr>
          <w:i/>
          <w:iCs/>
        </w:rPr>
        <w:t xml:space="preserve">balancing positive</w:t>
      </w:r>
      <w:r>
        <w:t xml:space="preserve"> </w:t>
      </w:r>
      <w:r>
        <w:t xml:space="preserve">learning evidence (Kestin’s AI-tutor RCT), which also sharpens the deliberate-vs-incidental distinction rather than weakening the paper. This document closes those gaps and adds Stanford’s own clinical-reasoning work (Strong et al.) and field-level scoping reviews. Recommended additions to the manuscript are listed at the end. Recent (2024–2026) citations are assembled from literature search and should be verified against the primary source before submission.</w:t>
      </w:r>
    </w:p>
    <w:p>
      <w:r>
        <w:pict>
          <v:rect style="width:0;height:1.5pt" o:hralign="center" o:hrstd="t" o:hr="t"/>
        </w:pict>
      </w:r>
    </w:p>
    <w:bookmarkStart w:id="9" w:name="X21d39c7c8c787a45e6f648583c4285d8b22e184"/>
    <w:p>
      <w:pPr>
        <w:pStyle w:val="Heading2"/>
      </w:pPr>
      <w:r>
        <w:t xml:space="preserve">A. Core framing: skill formation, the de-/never-/mis-skilling taxonomy, automation</w:t>
      </w:r>
    </w:p>
    <w:p>
      <w:pPr>
        <w:pStyle w:val="FirstParagraph"/>
      </w:pPr>
      <w:r>
        <w:rPr>
          <w:b/>
          <w:bCs/>
        </w:rPr>
        <w:t xml:space="preserve">✓ Shen JH, Tamkin A. How AI Impacts Skill Formation. arXiv:2601.20245 (2026).</w:t>
      </w:r>
      <w:r>
        <w:t xml:space="preserve"> </w:t>
      </w:r>
      <w:r>
        <w:t xml:space="preserve">Randomized experiments with developers learning an unfamiliar library: AI use impaired conceptual understanding, code reading, and debugging</w:t>
      </w:r>
      <w:r>
        <w:t xml:space="preserve"> </w:t>
      </w:r>
      <w:r>
        <w:rPr>
          <w:i/>
          <w:iCs/>
        </w:rPr>
        <w:t xml:space="preserve">without</w:t>
      </w:r>
      <w:r>
        <w:t xml:space="preserve"> </w:t>
      </w:r>
      <w:r>
        <w:t xml:space="preserve">average efficiency gains. Six interaction patterns — three preserved learning (65–86% on a post-task quiz), three eroded it (24–39%). The motivating paper; supplies the performance-vs-learning dissociation and the</w:t>
      </w:r>
      <w:r>
        <w:t xml:space="preserve"> </w:t>
      </w:r>
      <w:r>
        <w:rPr>
          <w:i/>
          <w:iCs/>
        </w:rPr>
        <w:t xml:space="preserve">interaction-posture</w:t>
      </w:r>
      <w:r>
        <w:t xml:space="preserve"> </w:t>
      </w:r>
      <w:r>
        <w:t xml:space="preserve">hypothesis the trial operationalizes.</w:t>
      </w:r>
    </w:p>
    <w:p>
      <w:pPr>
        <w:pStyle w:val="BodyText"/>
      </w:pPr>
      <w:r>
        <w:rPr>
          <w:b/>
          <w:bCs/>
        </w:rPr>
        <w:t xml:space="preserve">✓ Abdulnour R-EE, Gin B, Boscardin CK. Educational strategies for clinical supervision of artificial intelligence use. N Engl J Med. 2025;393:786–797.</w:t>
      </w:r>
      <w:r>
        <w:t xml:space="preserve"> </w:t>
      </w:r>
      <w:r>
        <w:t xml:space="preserve">Names the three trainee risks —</w:t>
      </w:r>
      <w:r>
        <w:t xml:space="preserve"> </w:t>
      </w:r>
      <w:r>
        <w:rPr>
          <w:b/>
          <w:bCs/>
        </w:rPr>
        <w:t xml:space="preserve">de-skilling</w:t>
      </w:r>
      <w:r>
        <w:t xml:space="preserve"> </w:t>
      </w:r>
      <w:r>
        <w:t xml:space="preserve">(loss of an existing competence),</w:t>
      </w:r>
      <w:r>
        <w:t xml:space="preserve"> </w:t>
      </w:r>
      <w:r>
        <w:rPr>
          <w:b/>
          <w:bCs/>
        </w:rPr>
        <w:t xml:space="preserve">never-skilling</w:t>
      </w:r>
      <w:r>
        <w:t xml:space="preserve"> </w:t>
      </w:r>
      <w:r>
        <w:t xml:space="preserve">(failure to develop one),</w:t>
      </w:r>
      <w:r>
        <w:t xml:space="preserve"> </w:t>
      </w:r>
      <w:r>
        <w:rPr>
          <w:b/>
          <w:bCs/>
        </w:rPr>
        <w:t xml:space="preserve">mis-skilling</w:t>
      </w:r>
      <w:r>
        <w:t xml:space="preserve"> </w:t>
      </w:r>
      <w:r>
        <w:t xml:space="preserve">(internalizing incorrect/biased AI patterns) — and proposes the DEFT-AI supervisory framework. The canonical medical-education statement of the concern; the vocabulary the manuscript adopts.</w:t>
      </w:r>
      <w:r>
        <w:t xml:space="preserve"> </w:t>
      </w:r>
      <w:r>
        <w:rPr>
          <w:i/>
          <w:iCs/>
        </w:rPr>
        <w:t xml:space="preserve">(Note: published correspondence flags DEFT-AI as unvalidated, with no measured learner outcomes — i.e., the empirical gap this trial addresses.)</w:t>
      </w:r>
    </w:p>
    <w:p>
      <w:pPr>
        <w:pStyle w:val="BodyText"/>
      </w:pPr>
      <w:r>
        <w:rPr>
          <w:b/>
          <w:bCs/>
        </w:rPr>
        <w:t xml:space="preserve">NEW — Bainbridge L. Ironies of automation. Automatica. 1983;19(6):775–779.</w:t>
      </w:r>
      <w:r>
        <w:t xml:space="preserve"> </w:t>
      </w:r>
      <w:r>
        <w:t xml:space="preserve">Foundational human-factors paper: as automation handles routine work the operator is</w:t>
      </w:r>
      <w:r>
        <w:t xml:space="preserve"> </w:t>
      </w:r>
      <w:r>
        <w:rPr>
          <w:i/>
          <w:iCs/>
        </w:rPr>
        <w:t xml:space="preserve">deskilled</w:t>
      </w:r>
      <w:r>
        <w:t xml:space="preserve">, yet is expected to take over precisely when the system fails — i.e., when the most skill is needed and the least has been practiced. Gives the deskilling concern a 40-year intellectual lineage and frames</w:t>
      </w:r>
      <w:r>
        <w:t xml:space="preserve"> </w:t>
      </w:r>
      <w:r>
        <w:t xml:space="preserve">“AI does the easy cases, the human must handle the hard ones unprepared”</w:t>
      </w:r>
      <w:r>
        <w:t xml:space="preserve"> </w:t>
      </w:r>
      <w:r>
        <w:t xml:space="preserve">as an old, well-characterized hazard. High-value early citation.</w:t>
      </w:r>
    </w:p>
    <w:p>
      <w:r>
        <w:pict>
          <v:rect style="width:0;height:1.5pt" o:hralign="center" o:hrstd="t" o:hr="t"/>
        </w:pict>
      </w:r>
    </w:p>
    <w:bookmarkEnd w:id="9"/>
    <w:bookmarkStart w:id="10" w:name="Xdaed373f8382e5f834f84412bbab4f7c95da60d"/>
    <w:p>
      <w:pPr>
        <w:pStyle w:val="Heading2"/>
      </w:pPr>
      <w:r>
        <w:t xml:space="preserve">B. AI in medicine: assisted</w:t>
      </w:r>
      <w:r>
        <w:t xml:space="preserve"> </w:t>
      </w:r>
      <w:r>
        <w:rPr>
          <w:i/>
          <w:iCs/>
        </w:rPr>
        <w:t xml:space="preserve">performance</w:t>
      </w:r>
      <w:r>
        <w:t xml:space="preserve"> </w:t>
      </w:r>
      <w:r>
        <w:t xml:space="preserve">and reasoning (RCTs &amp; head-to-heads)</w:t>
      </w:r>
    </w:p>
    <w:p>
      <w:pPr>
        <w:pStyle w:val="FirstParagraph"/>
      </w:pPr>
      <w:r>
        <w:rPr>
          <w:b/>
          <w:bCs/>
        </w:rPr>
        <w:t xml:space="preserve">✓ Goh E, et al. Large language model influence on diagnostic reasoning: a randomized clinical trial. JAMA Netw Open. 2024;7(10):e2440969.</w:t>
      </w:r>
      <w:r>
        <w:t xml:space="preserve"> </w:t>
      </w:r>
      <w:r>
        <w:t xml:space="preserve">Physicians randomized to LLM access vs. conventional resources showed</w:t>
      </w:r>
      <w:r>
        <w:t xml:space="preserve"> </w:t>
      </w:r>
      <w:r>
        <w:rPr>
          <w:b/>
          <w:bCs/>
        </w:rPr>
        <w:t xml:space="preserve">no significant improvement</w:t>
      </w:r>
      <w:r>
        <w:t xml:space="preserve"> </w:t>
      </w:r>
      <w:r>
        <w:t xml:space="preserve">in diagnostic reasoning; the LLM</w:t>
      </w:r>
      <w:r>
        <w:t xml:space="preserve"> </w:t>
      </w:r>
      <w:r>
        <w:rPr>
          <w:i/>
          <w:iCs/>
        </w:rPr>
        <w:t xml:space="preserve">alone</w:t>
      </w:r>
      <w:r>
        <w:t xml:space="preserve"> </w:t>
      </w:r>
      <w:r>
        <w:t xml:space="preserve">outscored both physician groups. Establishes that LLM access need not improve clinician reasoning — and that the measured endpoint is assisted performance, not learning.</w:t>
      </w:r>
    </w:p>
    <w:p>
      <w:pPr>
        <w:pStyle w:val="BodyText"/>
      </w:pPr>
      <w:r>
        <w:rPr>
          <w:b/>
          <w:bCs/>
        </w:rPr>
        <w:t xml:space="preserve">✓ Goh E, et al. Large language model influence on management reasoning: a randomized controlled trial. medRxiv 2024.08.05.24311485.</w:t>
      </w:r>
      <w:r>
        <w:t xml:space="preserve"> </w:t>
      </w:r>
      <w:r>
        <w:rPr>
          <w:i/>
          <w:iCs/>
        </w:rPr>
        <w:t xml:space="preserve">(verify final venue)</w:t>
      </w:r>
      <w:r>
        <w:t xml:space="preserve"> </w:t>
      </w:r>
      <w:r>
        <w:t xml:space="preserve">Companion multicenter RCT (Stanford and others, ~92 physicians): LLM access</w:t>
      </w:r>
      <w:r>
        <w:t xml:space="preserve"> </w:t>
      </w:r>
      <w:r>
        <w:rPr>
          <w:b/>
          <w:bCs/>
        </w:rPr>
        <w:t xml:space="preserve">did</w:t>
      </w:r>
      <w:r>
        <w:t xml:space="preserve"> </w:t>
      </w:r>
      <w:r>
        <w:t xml:space="preserve">improve open-ended</w:t>
      </w:r>
      <w:r>
        <w:t xml:space="preserve"> </w:t>
      </w:r>
      <w:r>
        <w:rPr>
          <w:i/>
          <w:iCs/>
        </w:rPr>
        <w:t xml:space="preserve">management</w:t>
      </w:r>
      <w:r>
        <w:t xml:space="preserve"> </w:t>
      </w:r>
      <w:r>
        <w:t xml:space="preserve">reasoning. The contrast with the diagnostic trial shows task-dependence of assisted-performance effects.</w:t>
      </w:r>
    </w:p>
    <w:p>
      <w:pPr>
        <w:pStyle w:val="BodyText"/>
      </w:pPr>
      <w:r>
        <w:rPr>
          <w:b/>
          <w:bCs/>
        </w:rPr>
        <w:t xml:space="preserve">✓ GPT-4 assistance for improvement of physician performance on patient-care tasks: a randomized controlled trial. Nat Med. 2025.</w:t>
      </w:r>
      <w:r>
        <w:t xml:space="preserve"> </w:t>
      </w:r>
      <w:r>
        <w:rPr>
          <w:i/>
          <w:iCs/>
        </w:rPr>
        <w:t xml:space="preserve">(verify authors/citation)</w:t>
      </w:r>
      <w:r>
        <w:t xml:space="preserve"> </w:t>
      </w:r>
      <w:r>
        <w:t xml:space="preserve">RCT of GPT-4 as a clinician aid on patient-care tasks — mixed performance effects. Part of the assisted-performance evidence base.</w:t>
      </w:r>
    </w:p>
    <w:p>
      <w:pPr>
        <w:pStyle w:val="BodyText"/>
      </w:pPr>
      <w:r>
        <w:rPr>
          <w:b/>
          <w:bCs/>
        </w:rPr>
        <w:t xml:space="preserve">✓ Large language model diagnostic assistance for physicians in a lower-middle-income country: a randomized controlled trial. Nat Health. 2025.</w:t>
      </w:r>
      <w:r>
        <w:t xml:space="preserve"> </w:t>
      </w:r>
      <w:r>
        <w:rPr>
          <w:i/>
          <w:iCs/>
        </w:rPr>
        <w:t xml:space="preserve">(verify authors/citation)</w:t>
      </w:r>
      <w:r>
        <w:t xml:space="preserve"> </w:t>
      </w:r>
      <w:r>
        <w:t xml:space="preserve">RCT (~249 physicians, Netherlands/Indonesia/Kenya) of LLM diagnostic assistance across settings. Extends assisted-performance evidence internationally.</w:t>
      </w:r>
    </w:p>
    <w:p>
      <w:pPr>
        <w:pStyle w:val="BodyText"/>
      </w:pPr>
      <w:r>
        <w:rPr>
          <w:b/>
          <w:bCs/>
        </w:rPr>
        <w:t xml:space="preserve">NEW — Kanjee Z, Crowe B, Rodman A. Accuracy of a generative artificial intelligence model in a complex diagnostic challenge. JAMA. 2023;330(1):78–80.</w:t>
      </w:r>
      <w:r>
        <w:t xml:space="preserve"> </w:t>
      </w:r>
      <w:r>
        <w:t xml:space="preserve">GPT-4 solved a large fraction of complex NEJM-style diagnostic cases. Anchors the</w:t>
      </w:r>
      <w:r>
        <w:t xml:space="preserve"> </w:t>
      </w:r>
      <w:r>
        <w:t xml:space="preserve">“the model is capable”</w:t>
      </w:r>
      <w:r>
        <w:t xml:space="preserve"> </w:t>
      </w:r>
      <w:r>
        <w:t xml:space="preserve">half of the story — which makes the</w:t>
      </w:r>
      <w:r>
        <w:t xml:space="preserve"> </w:t>
      </w:r>
      <w:r>
        <w:rPr>
          <w:i/>
          <w:iCs/>
        </w:rPr>
        <w:t xml:space="preserve">learning</w:t>
      </w:r>
      <w:r>
        <w:t xml:space="preserve"> </w:t>
      </w:r>
      <w:r>
        <w:t xml:space="preserve">question (do residents who lean on it retain anything?) the sharper one.</w:t>
      </w:r>
    </w:p>
    <w:p>
      <w:pPr>
        <w:pStyle w:val="BodyText"/>
      </w:pPr>
      <w:r>
        <w:rPr>
          <w:b/>
          <w:bCs/>
        </w:rPr>
        <w:t xml:space="preserve">NEW — Strong E, DiGiammarino A, Weng Y, et al. Chatbot vs medical student performance on free-response clinical reasoning examinations. JAMA Intern Med. 2023;183(9):1028–1030.</w:t>
      </w:r>
      <w:r>
        <w:t xml:space="preserve"> </w:t>
      </w:r>
      <w:r>
        <w:rPr>
          <w:b/>
          <w:bCs/>
        </w:rPr>
        <w:t xml:space="preserve">Stanford study</w:t>
      </w:r>
      <w:r>
        <w:t xml:space="preserve"> </w:t>
      </w:r>
      <w:r>
        <w:t xml:space="preserve">using free-response clinical-reasoning exams; the chatbot performed comparably to or better than students. Methodologically the closest prior work to our free-response task design, and same institution — a natural citation for the Methods/Discussion.</w:t>
      </w:r>
    </w:p>
    <w:p>
      <w:r>
        <w:pict>
          <v:rect style="width:0;height:1.5pt" o:hralign="center" o:hrstd="t" o:hr="t"/>
        </w:pict>
      </w:r>
    </w:p>
    <w:bookmarkEnd w:id="10"/>
    <w:bookmarkStart w:id="11" w:name="X7adb7928fcd5084f1b311b370f0249caae0a683"/>
    <w:p>
      <w:pPr>
        <w:pStyle w:val="Heading2"/>
      </w:pPr>
      <w:r>
        <w:t xml:space="preserve">C. AI in medical education:</w:t>
      </w:r>
      <w:r>
        <w:t xml:space="preserve"> </w:t>
      </w:r>
      <w:r>
        <w:rPr>
          <w:i/>
          <w:iCs/>
        </w:rPr>
        <w:t xml:space="preserve">learning</w:t>
      </w:r>
      <w:r>
        <w:t xml:space="preserve"> </w:t>
      </w:r>
      <w:r>
        <w:t xml:space="preserve">outcomes, reviews, and uptake</w:t>
      </w:r>
    </w:p>
    <w:p>
      <w:pPr>
        <w:pStyle w:val="FirstParagraph"/>
      </w:pPr>
      <w:r>
        <w:rPr>
          <w:b/>
          <w:bCs/>
        </w:rPr>
        <w:t xml:space="preserve">NEW — Kestin G, Miller K, Klales A, Milbourne T, Ponti G. AI tutoring outperforms in-class active learning: a randomized controlled trial. Sci Rep. 2025.</w:t>
      </w:r>
      <w:r>
        <w:t xml:space="preserve"> </w:t>
      </w:r>
      <w:r>
        <w:t xml:space="preserve">Harvard physics RCT (~180 students): a</w:t>
      </w:r>
      <w:r>
        <w:t xml:space="preserve"> </w:t>
      </w:r>
      <w:r>
        <w:rPr>
          <w:b/>
          <w:bCs/>
        </w:rPr>
        <w:t xml:space="preserve">purpose-built, scaffolded</w:t>
      </w:r>
      <w:r>
        <w:t xml:space="preserve"> </w:t>
      </w:r>
      <w:r>
        <w:t xml:space="preserve">AI tutor produced roughly</w:t>
      </w:r>
      <w:r>
        <w:t xml:space="preserve"> </w:t>
      </w:r>
      <w:r>
        <w:rPr>
          <w:b/>
          <w:bCs/>
        </w:rPr>
        <w:t xml:space="preserve">double</w:t>
      </w:r>
      <w:r>
        <w:t xml:space="preserve"> </w:t>
      </w:r>
      <w:r>
        <w:t xml:space="preserve">the learning gains of expert active-learning instruction. The crucial</w:t>
      </w:r>
      <w:r>
        <w:t xml:space="preserve"> </w:t>
      </w:r>
      <w:r>
        <w:rPr>
          <w:i/>
          <w:iCs/>
        </w:rPr>
        <w:t xml:space="preserve">counter-evidence</w:t>
      </w:r>
      <w:r>
        <w:t xml:space="preserve"> </w:t>
      </w:r>
      <w:r>
        <w:t xml:space="preserve">— a deliberately engineered tutor can enhance learning. Strengthens (not threatens) our framing: it is exactly the</w:t>
      </w:r>
      <w:r>
        <w:t xml:space="preserve"> </w:t>
      </w:r>
      <w:r>
        <w:rPr>
          <w:b/>
          <w:bCs/>
        </w:rPr>
        <w:t xml:space="preserve">deliberate, configured</w:t>
      </w:r>
      <w:r>
        <w:t xml:space="preserve"> </w:t>
      </w:r>
      <w:r>
        <w:t xml:space="preserve">case, in contrast to the</w:t>
      </w:r>
      <w:r>
        <w:t xml:space="preserve"> </w:t>
      </w:r>
      <w:r>
        <w:rPr>
          <w:b/>
          <w:bCs/>
        </w:rPr>
        <w:t xml:space="preserve">incidental, default-chatbot</w:t>
      </w:r>
      <w:r>
        <w:t xml:space="preserve"> </w:t>
      </w:r>
      <w:r>
        <w:t xml:space="preserve">case we test, and headlines the</w:t>
      </w:r>
      <w:r>
        <w:t xml:space="preserve"> </w:t>
      </w:r>
      <w:r>
        <w:t xml:space="preserve">“AI tools are not interchangeable”</w:t>
      </w:r>
      <w:r>
        <w:t xml:space="preserve"> </w:t>
      </w:r>
      <w:r>
        <w:t xml:space="preserve">point.</w:t>
      </w:r>
    </w:p>
    <w:p>
      <w:pPr>
        <w:pStyle w:val="BodyText"/>
      </w:pPr>
      <w:r>
        <w:rPr>
          <w:b/>
          <w:bCs/>
        </w:rPr>
        <w:t xml:space="preserve">NEW — Large language models improve clinical decision making of medical students through patient simulation and structured feedback: a randomized controlled trial. (PMC11605890), 2024.</w:t>
      </w:r>
      <w:r>
        <w:t xml:space="preserve"> </w:t>
      </w:r>
      <w:r>
        <w:rPr>
          <w:i/>
          <w:iCs/>
        </w:rPr>
        <w:t xml:space="preserve">(verify citation)</w:t>
      </w:r>
      <w:r>
        <w:t xml:space="preserve"> </w:t>
      </w:r>
      <w:r>
        <w:t xml:space="preserve">Med-student RCT in which a</w:t>
      </w:r>
      <w:r>
        <w:t xml:space="preserve"> </w:t>
      </w:r>
      <w:r>
        <w:rPr>
          <w:i/>
          <w:iCs/>
        </w:rPr>
        <w:t xml:space="preserve">structured</w:t>
      </w:r>
      <w:r>
        <w:t xml:space="preserve"> </w:t>
      </w:r>
      <w:r>
        <w:t xml:space="preserve">LLM exercise (simulation + feedback) improved clinical decision-making. Reinforces that configuration/structure, not mere AI access, drives learning benefit.</w:t>
      </w:r>
    </w:p>
    <w:p>
      <w:pPr>
        <w:pStyle w:val="BodyText"/>
      </w:pPr>
      <w:r>
        <w:rPr>
          <w:b/>
          <w:bCs/>
        </w:rPr>
        <w:t xml:space="preserve">NEW — Artificial intelligence in undergraduate medical education: an updated scoping review. BMC Med Educ. 2025.</w:t>
      </w:r>
      <w:r>
        <w:t xml:space="preserve"> </w:t>
      </w:r>
      <w:r>
        <w:rPr>
          <w:i/>
          <w:iCs/>
        </w:rPr>
        <w:t xml:space="preserve">(310 studies; verify citation)</w:t>
      </w:r>
      <w:r>
        <w:t xml:space="preserve"> </w:t>
      </w:r>
      <w:r>
        <w:t xml:space="preserve">Large scoping review of LLMs in UME since 2022. Cite to demonstrate command of the field and to locate this RCT against a literature that is overwhelmingly descriptive/performance-oriented rather than randomized-and-learning-focused.</w:t>
      </w:r>
    </w:p>
    <w:p>
      <w:pPr>
        <w:pStyle w:val="BodyText"/>
      </w:pPr>
      <w:r>
        <w:rPr>
          <w:b/>
          <w:bCs/>
        </w:rPr>
        <w:t xml:space="preserve">NEW — Modern artificial intelligence and large language models in graduate medical education: a scoping review of attitudes, applications &amp; practice. 2025 (PMID 40394586).</w:t>
      </w:r>
      <w:r>
        <w:t xml:space="preserve"> </w:t>
      </w:r>
      <w:r>
        <w:rPr>
          <w:i/>
          <w:iCs/>
        </w:rPr>
        <w:t xml:space="preserve">(verify)</w:t>
      </w:r>
      <w:r>
        <w:t xml:space="preserve"> </w:t>
      </w:r>
      <w:r>
        <w:t xml:space="preserve">GME-specific scoping review — directly relevant to a</w:t>
      </w:r>
      <w:r>
        <w:t xml:space="preserve"> </w:t>
      </w:r>
      <w:r>
        <w:rPr>
          <w:i/>
          <w:iCs/>
        </w:rPr>
        <w:t xml:space="preserve">residency</w:t>
      </w:r>
      <w:r>
        <w:t xml:space="preserve"> </w:t>
      </w:r>
      <w:r>
        <w:t xml:space="preserve">trial; useful to show that randomized learning-outcome evidence in GME is essentially absent.</w:t>
      </w:r>
    </w:p>
    <w:p>
      <w:pPr>
        <w:pStyle w:val="BodyText"/>
      </w:pPr>
      <w:r>
        <w:rPr>
          <w:b/>
          <w:bCs/>
        </w:rPr>
        <w:t xml:space="preserve">NEW — Generative artificial intelligence in medical education: enhancing critical thinking or undermining cognitive autonomy? (review, 2025).</w:t>
      </w:r>
      <w:r>
        <w:t xml:space="preserve"> </w:t>
      </w:r>
      <w:r>
        <w:rPr>
          <w:i/>
          <w:iCs/>
        </w:rPr>
        <w:t xml:space="preserve">(verify citation)</w:t>
      </w:r>
      <w:r>
        <w:t xml:space="preserve"> </w:t>
      </w:r>
      <w:r>
        <w:t xml:space="preserve">Representative cautionary med-ed perspective; pairs with the empirical offloading work to motivate the study’s concern.</w:t>
      </w:r>
    </w:p>
    <w:p>
      <w:pPr>
        <w:pStyle w:val="BodyText"/>
      </w:pPr>
      <w:r>
        <w:rPr>
          <w:b/>
          <w:bCs/>
        </w:rPr>
        <w:t xml:space="preserve">NEW — Medical-student generative-AI use surveys (e.g., BMC Med Educ. 2025; multicenter surveys, 2024–2025).</w:t>
      </w:r>
      <w:r>
        <w:t xml:space="preserve"> </w:t>
      </w:r>
      <w:r>
        <w:rPr>
          <w:i/>
          <w:iCs/>
        </w:rPr>
        <w:t xml:space="preserve">(verify specific citations)</w:t>
      </w:r>
      <w:r>
        <w:t xml:space="preserve"> </w:t>
      </w:r>
      <w:r>
        <w:t xml:space="preserve">Cross-sectional surveys report</w:t>
      </w:r>
      <w:r>
        <w:t xml:space="preserve"> </w:t>
      </w:r>
      <w:r>
        <w:rPr>
          <w:b/>
          <w:bCs/>
        </w:rPr>
        <w:t xml:space="preserve">~60–85% adoption</w:t>
      </w:r>
      <w:r>
        <w:t xml:space="preserve"> </w:t>
      </w:r>
      <w:r>
        <w:t xml:space="preserve">of ChatGPT/GenAI among medical students/trainees, frequently to learn or review concepts. Establishes that the exposure is already pervasive and unsupervised — motivating urgency in the Introduction.</w:t>
      </w:r>
    </w:p>
    <w:p>
      <w:r>
        <w:pict>
          <v:rect style="width:0;height:1.5pt" o:hralign="center" o:hrstd="t" o:hr="t"/>
        </w:pict>
      </w:r>
    </w:p>
    <w:bookmarkEnd w:id="11"/>
    <w:bookmarkStart w:id="12" w:name="X8197883cd58240e6c1ba3d493b0d1db22ccea41"/>
    <w:p>
      <w:pPr>
        <w:pStyle w:val="Heading2"/>
      </w:pPr>
      <w:r>
        <w:t xml:space="preserve">D. AI and cognition/learning</w:t>
      </w:r>
      <w:r>
        <w:t xml:space="preserve"> </w:t>
      </w:r>
      <w:r>
        <w:rPr>
          <w:b/>
          <w:bCs/>
        </w:rPr>
        <w:t xml:space="preserve">outside</w:t>
      </w:r>
      <w:r>
        <w:t xml:space="preserve"> </w:t>
      </w:r>
      <w:r>
        <w:t xml:space="preserve">medicine</w:t>
      </w:r>
    </w:p>
    <w:p>
      <w:pPr>
        <w:pStyle w:val="FirstParagraph"/>
      </w:pPr>
      <w:r>
        <w:rPr>
          <w:b/>
          <w:bCs/>
        </w:rPr>
        <w:t xml:space="preserve">NEW — Lee H-P, et al. The impact of generative AI on critical thinking: self-reported reductions in cognitive effort and confidence effects from a survey of knowledge workers. Proc. CHI 2025. doi:10.1145/3706598.3713778.</w:t>
      </w:r>
      <w:r>
        <w:t xml:space="preserve"> </w:t>
      </w:r>
      <w:r>
        <w:t xml:space="preserve">Survey of 319 knowledge workers (936 examples): GenAI use was associated with</w:t>
      </w:r>
      <w:r>
        <w:t xml:space="preserve"> </w:t>
      </w:r>
      <w:r>
        <w:rPr>
          <w:b/>
          <w:bCs/>
        </w:rPr>
        <w:t xml:space="preserve">reduced perceived cognitive effort</w:t>
      </w:r>
      <w:r>
        <w:t xml:space="preserve"> </w:t>
      </w:r>
      <w:r>
        <w:t xml:space="preserve">across Bloom’s-taxonomy activities;</w:t>
      </w:r>
      <w:r>
        <w:t xml:space="preserve"> </w:t>
      </w:r>
      <w:r>
        <w:rPr>
          <w:b/>
          <w:bCs/>
        </w:rPr>
        <w:t xml:space="preserve">higher confidence in the AI predicted less critical thinking</w:t>
      </w:r>
      <w:r>
        <w:t xml:space="preserve">, while higher self-confidence predicted more. A flagship</w:t>
      </w:r>
      <w:r>
        <w:t xml:space="preserve"> </w:t>
      </w:r>
      <w:r>
        <w:t xml:space="preserve">“AI offloads thinking”</w:t>
      </w:r>
      <w:r>
        <w:t xml:space="preserve"> </w:t>
      </w:r>
      <w:r>
        <w:t xml:space="preserve">citation that</w:t>
      </w:r>
      <w:r>
        <w:t xml:space="preserve"> </w:t>
      </w:r>
      <w:r>
        <w:rPr>
          <w:i/>
          <w:iCs/>
        </w:rPr>
        <w:t xml:space="preserve">NEJM AI</w:t>
      </w:r>
      <w:r>
        <w:t xml:space="preserve"> </w:t>
      </w:r>
      <w:r>
        <w:t xml:space="preserve">readers will expect, and it directly motivates our confidence–competence (comfort vs. knowledge) analysis.</w:t>
      </w:r>
    </w:p>
    <w:p>
      <w:pPr>
        <w:pStyle w:val="BodyText"/>
      </w:pPr>
      <w:r>
        <w:rPr>
          <w:b/>
          <w:bCs/>
        </w:rPr>
        <w:t xml:space="preserve">NEW — Kosmyna N, et al. Your brain on ChatGPT: accumulation of cognitive debt when using an AI assistant for essay-writing tasks. arXiv:2506.08872 (2025).</w:t>
      </w:r>
      <w:r>
        <w:t xml:space="preserve"> </w:t>
      </w:r>
      <w:r>
        <w:t xml:space="preserve">MIT Media Lab; 54 participants, EEG across sessions. LLM users showed the</w:t>
      </w:r>
      <w:r>
        <w:t xml:space="preserve"> </w:t>
      </w:r>
      <w:r>
        <w:rPr>
          <w:b/>
          <w:bCs/>
        </w:rPr>
        <w:t xml:space="preserve">weakest neural connectivity</w:t>
      </w:r>
      <w:r>
        <w:t xml:space="preserve">,</w:t>
      </w:r>
      <w:r>
        <w:t xml:space="preserve"> </w:t>
      </w:r>
      <w:r>
        <w:rPr>
          <w:b/>
          <w:bCs/>
        </w:rPr>
        <w:t xml:space="preserve">lowest sense of ownership</w:t>
      </w:r>
      <w:r>
        <w:t xml:space="preserve">, and could least often quote their own essays; reduced engagement</w:t>
      </w:r>
      <w:r>
        <w:t xml:space="preserve"> </w:t>
      </w:r>
      <w:r>
        <w:rPr>
          <w:b/>
          <w:bCs/>
        </w:rPr>
        <w:t xml:space="preserve">persisted</w:t>
      </w:r>
      <w:r>
        <w:t xml:space="preserve"> </w:t>
      </w:r>
      <w:r>
        <w:t xml:space="preserve">after the AI was removed (</w:t>
      </w:r>
      <w:r>
        <w:t xml:space="preserve">“cognitive debt”</w:t>
      </w:r>
      <w:r>
        <w:t xml:space="preserve">). The most striking mechanistic evidence that offloading to AI lowers the cognitive engagement that learning requires.</w:t>
      </w:r>
      <w:r>
        <w:t xml:space="preserve"> </w:t>
      </w:r>
      <w:r>
        <w:rPr>
          <w:i/>
          <w:iCs/>
        </w:rPr>
        <w:t xml:space="preserve">(arXiv preprint — note as such.)</w:t>
      </w:r>
    </w:p>
    <w:p>
      <w:pPr>
        <w:pStyle w:val="BodyText"/>
      </w:pPr>
      <w:r>
        <w:rPr>
          <w:b/>
          <w:bCs/>
        </w:rPr>
        <w:t xml:space="preserve">✓ Fan Y, et al. Beware of metacognitive laziness: effects of generative AI on learning motivation, processes, and performance. Br J Educ Technol. 2025 (arXiv:2412.09315).</w:t>
      </w:r>
      <w:r>
        <w:t xml:space="preserve"> </w:t>
      </w:r>
      <w:r>
        <w:t xml:space="preserve">Students writing with generative AI produced higher-quality work but showed</w:t>
      </w:r>
      <w:r>
        <w:t xml:space="preserve"> </w:t>
      </w:r>
      <w:r>
        <w:rPr>
          <w:b/>
          <w:bCs/>
        </w:rPr>
        <w:t xml:space="preserve">no knowledge gain</w:t>
      </w:r>
      <w:r>
        <w:t xml:space="preserve"> </w:t>
      </w:r>
      <w:r>
        <w:t xml:space="preserve">when tested unaided, with reduced self-monitoring. Coined</w:t>
      </w:r>
      <w:r>
        <w:t xml:space="preserve"> </w:t>
      </w:r>
      <w:r>
        <w:t xml:space="preserve">“metacognitive laziness”</w:t>
      </w:r>
      <w:r>
        <w:t xml:space="preserve">; a direct performance-vs-learning dissociation in education.</w:t>
      </w:r>
    </w:p>
    <w:p>
      <w:pPr>
        <w:pStyle w:val="BodyText"/>
      </w:pPr>
      <w:r>
        <w:rPr>
          <w:b/>
          <w:bCs/>
        </w:rPr>
        <w:t xml:space="preserve">NEW — The widening gap: the benefits and harms of generative AI for novice programmers. arXiv:2405.17739 (2024).</w:t>
      </w:r>
      <w:r>
        <w:t xml:space="preserve"> </w:t>
      </w:r>
      <w:r>
        <w:rPr>
          <w:i/>
          <w:iCs/>
        </w:rPr>
        <w:t xml:space="preserve">(verify final venue)</w:t>
      </w:r>
      <w:r>
        <w:t xml:space="preserve"> </w:t>
      </w:r>
      <w:r>
        <w:t xml:space="preserve">Benefits of GenAI assistance were</w:t>
      </w:r>
      <w:r>
        <w:t xml:space="preserve"> </w:t>
      </w:r>
      <w:r>
        <w:rPr>
          <w:b/>
          <w:bCs/>
        </w:rPr>
        <w:t xml:space="preserve">unevenly distributed</w:t>
      </w:r>
      <w:r>
        <w:t xml:space="preserve">: students with strong metacognitive skills gained, while those with weaker metacognition were harmed. Empirical support for the manuscript’s central exploratory claim — that</w:t>
      </w:r>
      <w:r>
        <w:t xml:space="preserve"> </w:t>
      </w:r>
      <w:r>
        <w:rPr>
          <w:i/>
          <w:iCs/>
        </w:rPr>
        <w:t xml:space="preserve">how</w:t>
      </w:r>
      <w:r>
        <w:t xml:space="preserve"> </w:t>
      </w:r>
      <w:r>
        <w:t xml:space="preserve">one engages (posture/metacognition), not whether one uses AI, determines the learning effect.</w:t>
      </w:r>
    </w:p>
    <w:p>
      <w:pPr>
        <w:pStyle w:val="BodyText"/>
      </w:pPr>
      <w:r>
        <w:rPr>
          <w:b/>
          <w:bCs/>
        </w:rPr>
        <w:t xml:space="preserve">✓ Distinguishing performance gains from learning when using generative AI. arXiv:2605.13731 (2026).</w:t>
      </w:r>
      <w:r>
        <w:t xml:space="preserve"> </w:t>
      </w:r>
      <w:r>
        <w:rPr>
          <w:i/>
          <w:iCs/>
        </w:rPr>
        <w:t xml:space="preserve">(verify authors)</w:t>
      </w:r>
      <w:r>
        <w:t xml:space="preserve"> </w:t>
      </w:r>
      <w:r>
        <w:t xml:space="preserve">Frames and measures the very dissociation the trial is built on.</w:t>
      </w:r>
    </w:p>
    <w:p>
      <w:pPr>
        <w:pStyle w:val="BodyText"/>
      </w:pPr>
      <w:r>
        <w:rPr>
          <w:b/>
          <w:bCs/>
        </w:rPr>
        <w:t xml:space="preserve">✓ Gerlich M. AI tools in society: impacts on cognitive offloading and the future of critical thinking. Societies. 2025.</w:t>
      </w:r>
      <w:r>
        <w:t xml:space="preserve"> </w:t>
      </w:r>
      <w:r>
        <w:rPr>
          <w:i/>
          <w:iCs/>
        </w:rPr>
        <w:t xml:space="preserve">(verify citation)</w:t>
      </w:r>
      <w:r>
        <w:t xml:space="preserve"> </w:t>
      </w:r>
      <w:r>
        <w:t xml:space="preserve">Links habitual cognitive offloading to AI with weaker independent critical thinking.</w:t>
      </w:r>
    </w:p>
    <w:p>
      <w:r>
        <w:pict>
          <v:rect style="width:0;height:1.5pt" o:hralign="center" o:hrstd="t" o:hr="t"/>
        </w:pict>
      </w:r>
    </w:p>
    <w:bookmarkEnd w:id="12"/>
    <w:bookmarkStart w:id="13" w:name="Xeeb522f7a5b7b663c262cfa573cce52faea48e2"/>
    <w:p>
      <w:pPr>
        <w:pStyle w:val="Heading2"/>
      </w:pPr>
      <w:r>
        <w:t xml:space="preserve">E. Cognitive offloading &amp; deskilling — classic analogs</w:t>
      </w:r>
    </w:p>
    <w:p>
      <w:pPr>
        <w:pStyle w:val="FirstParagraph"/>
      </w:pPr>
      <w:r>
        <w:rPr>
          <w:b/>
          <w:bCs/>
        </w:rPr>
        <w:t xml:space="preserve">NEW — Sparrow B, Liu J, Wegner DM. Google effects on memory: cognitive consequences of having information at our fingertips. Science. 2011;333:776–778.</w:t>
      </w:r>
      <w:r>
        <w:t xml:space="preserve"> </w:t>
      </w:r>
      <w:r>
        <w:t xml:space="preserve">When people expect future access to information, they remember</w:t>
      </w:r>
      <w:r>
        <w:t xml:space="preserve"> </w:t>
      </w:r>
      <w:r>
        <w:rPr>
          <w:b/>
          <w:bCs/>
        </w:rPr>
        <w:t xml:space="preserve">where</w:t>
      </w:r>
      <w:r>
        <w:t xml:space="preserve"> </w:t>
      </w:r>
      <w:r>
        <w:t xml:space="preserve">to find it rather than the information itself (transactive memory). The seminal demonstration that easy external access reshapes what we bother to encode — the cognitive logic underlying AI offloading, predating LLMs.</w:t>
      </w:r>
    </w:p>
    <w:p>
      <w:pPr>
        <w:pStyle w:val="BodyText"/>
      </w:pPr>
      <w:r>
        <w:rPr>
          <w:b/>
          <w:bCs/>
        </w:rPr>
        <w:t xml:space="preserve">NEW — Dahmani L, Bohbot VD. Habitual use of GPS negatively impacts spatial memory during self-guided navigation. Sci Rep. 2020;10:6310.</w:t>
      </w:r>
      <w:r>
        <w:t xml:space="preserve"> </w:t>
      </w:r>
      <w:r>
        <w:t xml:space="preserve">Greater lifetime GPS use predicted worse spatial memory, and heavier subsequent use predicted</w:t>
      </w:r>
      <w:r>
        <w:t xml:space="preserve"> </w:t>
      </w:r>
      <w:r>
        <w:rPr>
          <w:b/>
          <w:bCs/>
        </w:rPr>
        <w:t xml:space="preserve">steeper decline</w:t>
      </w:r>
      <w:r>
        <w:t xml:space="preserve"> </w:t>
      </w:r>
      <w:r>
        <w:t xml:space="preserve">in hippocampus-dependent spatial memory at 3-year follow-up —</w:t>
      </w:r>
      <w:r>
        <w:t xml:space="preserve"> </w:t>
      </w:r>
      <w:r>
        <w:rPr>
          <w:b/>
          <w:bCs/>
        </w:rPr>
        <w:t xml:space="preserve">dose-dependent</w:t>
      </w:r>
      <w:r>
        <w:t xml:space="preserve">, with directionality suggesting GPS use</w:t>
      </w:r>
      <w:r>
        <w:t xml:space="preserve"> </w:t>
      </w:r>
      <w:r>
        <w:rPr>
          <w:i/>
          <w:iCs/>
        </w:rPr>
        <w:t xml:space="preserve">caused</w:t>
      </w:r>
      <w:r>
        <w:t xml:space="preserve"> </w:t>
      </w:r>
      <w:r>
        <w:t xml:space="preserve">the decline. A clean, well-controlled deskilling analog: outsourcing a cognitive skill to a tool atrophies it.</w:t>
      </w:r>
    </w:p>
    <w:p>
      <w:r>
        <w:pict>
          <v:rect style="width:0;height:1.5pt" o:hralign="center" o:hrstd="t" o:hr="t"/>
        </w:pict>
      </w:r>
    </w:p>
    <w:bookmarkEnd w:id="13"/>
    <w:bookmarkStart w:id="14" w:name="X8725b540633b2450345e34220283588310905c3"/>
    <w:p>
      <w:pPr>
        <w:pStyle w:val="Heading2"/>
      </w:pPr>
      <w:r>
        <w:t xml:space="preserve">F. Clinical deskilling within medicine (real-world)</w:t>
      </w:r>
    </w:p>
    <w:p>
      <w:pPr>
        <w:pStyle w:val="FirstParagraph"/>
      </w:pPr>
      <w:r>
        <w:rPr>
          <w:b/>
          <w:bCs/>
        </w:rPr>
        <w:t xml:space="preserve">✓ Budzyń K, Romańczyk M, et al. Endoscopist deskilling risk after exposure to artificial intelligence in colonoscopy: a multicentre, observational, before-and-after study. Lancet Gastroenterol Hepatol. 2025;10(10):896–903.</w:t>
      </w:r>
      <w:r>
        <w:t xml:space="preserve"> </w:t>
      </w:r>
      <w:r>
        <w:t xml:space="preserve">After routine AI-assisted colonoscopy, endoscopists’ adenoma detection on</w:t>
      </w:r>
      <w:r>
        <w:t xml:space="preserve"> </w:t>
      </w:r>
      <w:r>
        <w:rPr>
          <w:b/>
          <w:bCs/>
        </w:rPr>
        <w:t xml:space="preserve">standard, non-AI</w:t>
      </w:r>
      <w:r>
        <w:t xml:space="preserve"> </w:t>
      </w:r>
      <w:r>
        <w:t xml:space="preserve">colonoscopy fell (~6% absolute) — the clearest real-world clinical deskilling signal, in a</w:t>
      </w:r>
      <w:r>
        <w:t xml:space="preserve"> </w:t>
      </w:r>
      <w:r>
        <w:rPr>
          <w:i/>
          <w:iCs/>
        </w:rPr>
        <w:t xml:space="preserve">perceptual-motor</w:t>
      </w:r>
      <w:r>
        <w:t xml:space="preserve"> </w:t>
      </w:r>
      <w:r>
        <w:t xml:space="preserve">task.</w:t>
      </w:r>
    </w:p>
    <w:p>
      <w:pPr>
        <w:pStyle w:val="BodyText"/>
      </w:pPr>
      <w:r>
        <w:rPr>
          <w:b/>
          <w:bCs/>
        </w:rPr>
        <w:t xml:space="preserve">✓ Macnamara BN, Berber I, Çavuşoğlu MC, et al. Does using artificial intelligence assistance accelerate skill decay and hinder skill development without performers’ awareness? Cogn Res Princ Implic. 2024;9:46.</w:t>
      </w:r>
      <w:r>
        <w:t xml:space="preserve"> </w:t>
      </w:r>
      <w:r>
        <w:t xml:space="preserve">Experimental evidence (incl. radiology-type image tasks) that AI assistance can</w:t>
      </w:r>
      <w:r>
        <w:t xml:space="preserve"> </w:t>
      </w:r>
      <w:r>
        <w:rPr>
          <w:b/>
          <w:bCs/>
        </w:rPr>
        <w:t xml:space="preserve">accelerate skill decay and hinder skill development — without the performer noticing</w:t>
      </w:r>
      <w:r>
        <w:t xml:space="preserve">. A second clinical-adjacent deskilling demonstration; pairs with the colonoscopy study and reinforces the confidence–competence gap.</w:t>
      </w:r>
    </w:p>
    <w:p>
      <w:pPr>
        <w:pStyle w:val="BodyText"/>
      </w:pPr>
      <w:r>
        <w:rPr>
          <w:b/>
          <w:bCs/>
        </w:rPr>
        <w:t xml:space="preserve">✓ Goddard K, Roudsari A, Wyatt JC. Automation bias: a systematic review of frequency, effect mediators, and mitigators. J Am Med Inform Assoc. 2012;19(1):121–127.</w:t>
      </w:r>
      <w:r>
        <w:t xml:space="preserve"> </w:t>
      </w:r>
      <w:r>
        <w:t xml:space="preserve">Defines and quantifies automation bias in clinical decision support — over-trust and under-verification, worse in less experienced users.</w:t>
      </w:r>
    </w:p>
    <w:p>
      <w:pPr>
        <w:pStyle w:val="BodyText"/>
      </w:pPr>
      <w:r>
        <w:rPr>
          <w:b/>
          <w:bCs/>
        </w:rPr>
        <w:t xml:space="preserve">✓ Lyell D, Coiera E. Automation bias and verification complexity: a systematic review. J Am Med Inform Assoc. 2017;24(2):423–431.</w:t>
      </w:r>
      <w:r>
        <w:t xml:space="preserve"> </w:t>
      </w:r>
      <w:r>
        <w:t xml:space="preserve">Automation bias rises with task/verification complexity — relevant to trainees offloading complex reasoning.</w:t>
      </w:r>
    </w:p>
    <w:p>
      <w:r>
        <w:pict>
          <v:rect style="width:0;height:1.5pt" o:hralign="center" o:hrstd="t" o:hr="t"/>
        </w:pict>
      </w:r>
    </w:p>
    <w:bookmarkEnd w:id="14"/>
    <w:bookmarkStart w:id="15" w:name="Xa678c1e8537cf01b7dada4da84f563009482880"/>
    <w:p>
      <w:pPr>
        <w:pStyle w:val="Heading2"/>
      </w:pPr>
      <w:r>
        <w:t xml:space="preserve">G. Learning-science foundations (mechanism)</w:t>
      </w:r>
    </w:p>
    <w:p>
      <w:pPr>
        <w:pStyle w:val="FirstParagraph"/>
      </w:pPr>
      <w:r>
        <w:rPr>
          <w:b/>
          <w:bCs/>
        </w:rPr>
        <w:t xml:space="preserve">✓ Roediger HL III, Karpicke JD. The power of testing memory: basic research and implications for educational practice. Perspect Psychol Sci. 2006;1(3):181–210.</w:t>
      </w:r>
      <w:r>
        <w:t xml:space="preserve"> </w:t>
      </w:r>
      <w:r>
        <w:t xml:space="preserve">— Retrieval practice/testing effect: effortful retrieval, not re-exposure, drives retention.</w:t>
      </w:r>
    </w:p>
    <w:p>
      <w:pPr>
        <w:pStyle w:val="BodyText"/>
      </w:pPr>
      <w:r>
        <w:rPr>
          <w:b/>
          <w:bCs/>
        </w:rPr>
        <w:t xml:space="preserve">✓ Bjork RA. Memory and metamemory considerations in the training of human beings. In: Metcalfe J, Shimamura AP, eds. Metacognition. MIT Press; 1994:185–205.</w:t>
      </w:r>
      <w:r>
        <w:t xml:space="preserve"> </w:t>
      </w:r>
      <w:r>
        <w:t xml:space="preserve">—</w:t>
      </w:r>
      <w:r>
        <w:t xml:space="preserve"> </w:t>
      </w:r>
      <w:r>
        <w:t xml:space="preserve">“Desirable difficulties”</w:t>
      </w:r>
      <w:r>
        <w:t xml:space="preserve">: conditions that slow apparent performance improve durable learning.</w:t>
      </w:r>
    </w:p>
    <w:p>
      <w:pPr>
        <w:pStyle w:val="BodyText"/>
      </w:pPr>
      <w:r>
        <w:rPr>
          <w:b/>
          <w:bCs/>
        </w:rPr>
        <w:t xml:space="preserve">✓ Slamecka NJ, Graf P. The generation effect: delineation of a phenomenon. J Exp Psychol Hum Learn Mem. 1978;4(6):592–604.</w:t>
      </w:r>
      <w:r>
        <w:t xml:space="preserve"> </w:t>
      </w:r>
      <w:r>
        <w:t xml:space="preserve">— Self-generated material is remembered better than read material — the effort an AI answer removes.</w:t>
      </w:r>
    </w:p>
    <w:p>
      <w:pPr>
        <w:pStyle w:val="BodyText"/>
      </w:pPr>
      <w:r>
        <w:rPr>
          <w:b/>
          <w:bCs/>
        </w:rPr>
        <w:t xml:space="preserve">✓ Sweller J. Cognitive load during problem solving: effects on learning. Cogn Sci. 1988;12(2):257–285.</w:t>
      </w:r>
      <w:r>
        <w:t xml:space="preserve"> </w:t>
      </w:r>
      <w:r>
        <w:t xml:space="preserve">— Cognitive-load theory; frames why offloading the productive struggle can impair schema formation.</w:t>
      </w:r>
    </w:p>
    <w:p>
      <w:r>
        <w:pict>
          <v:rect style="width:0;height:1.5pt" o:hralign="center" o:hrstd="t" o:hr="t"/>
        </w:pict>
      </w:r>
    </w:p>
    <w:bookmarkEnd w:id="15"/>
    <w:bookmarkStart w:id="16" w:name="Xd46aef4030effe2c48fcae6125ccb06e32e9420"/>
    <w:p>
      <w:pPr>
        <w:pStyle w:val="Heading2"/>
      </w:pPr>
      <w:r>
        <w:t xml:space="preserve">Recommendations: what to fold into the manuscript</w:t>
      </w:r>
    </w:p>
    <w:p>
      <w:pPr>
        <w:pStyle w:val="FirstParagraph"/>
      </w:pPr>
      <w:r>
        <w:t xml:space="preserve">The Introduction is currently anchored on clinical-AI RCTs + learning science + the colonoscopy deskilling case. To make the review</w:t>
      </w:r>
      <w:r>
        <w:t xml:space="preserve"> </w:t>
      </w:r>
      <w:r>
        <w:rPr>
          <w:i/>
          <w:iCs/>
        </w:rPr>
        <w:t xml:space="preserve">robust</w:t>
      </w:r>
      <w:r>
        <w:t xml:space="preserve"> </w:t>
      </w:r>
      <w:r>
        <w:t xml:space="preserve">for</w:t>
      </w:r>
      <w:r>
        <w:t xml:space="preserve"> </w:t>
      </w:r>
      <w:r>
        <w:rPr>
          <w:i/>
          <w:iCs/>
        </w:rPr>
        <w:t xml:space="preserve">NEJM AI</w:t>
      </w:r>
      <w:r>
        <w:t xml:space="preserve">, add (highest value first):</w:t>
      </w:r>
    </w:p>
    <w:p>
      <w:pPr>
        <w:pStyle w:val="Compact"/>
        <w:numPr>
          <w:ilvl w:val="0"/>
          <w:numId w:val="1001"/>
        </w:numPr>
      </w:pPr>
      <w:r>
        <w:rPr>
          <w:b/>
          <w:bCs/>
        </w:rPr>
        <w:t xml:space="preserve">Lee et al. (CHI 2025)</w:t>
      </w:r>
      <w:r>
        <w:t xml:space="preserve"> </w:t>
      </w:r>
      <w:r>
        <w:t xml:space="preserve">and</w:t>
      </w:r>
      <w:r>
        <w:t xml:space="preserve"> </w:t>
      </w:r>
      <w:r>
        <w:rPr>
          <w:b/>
          <w:bCs/>
        </w:rPr>
        <w:t xml:space="preserve">Kosmyna et al. (MIT, 2025)</w:t>
      </w:r>
      <w:r>
        <w:t xml:space="preserve"> </w:t>
      </w:r>
      <w:r>
        <w:t xml:space="preserve">— the marquee</w:t>
      </w:r>
      <w:r>
        <w:t xml:space="preserve"> </w:t>
      </w:r>
      <w:r>
        <w:t xml:space="preserve">“AI offloads cognition”</w:t>
      </w:r>
      <w:r>
        <w:t xml:space="preserve"> </w:t>
      </w:r>
      <w:r>
        <w:t xml:space="preserve">evidence readers expect; both reinforce the confidence–competence analysis.</w:t>
      </w:r>
    </w:p>
    <w:p>
      <w:pPr>
        <w:pStyle w:val="Compact"/>
        <w:numPr>
          <w:ilvl w:val="0"/>
          <w:numId w:val="1001"/>
        </w:numPr>
      </w:pPr>
      <w:r>
        <w:rPr>
          <w:b/>
          <w:bCs/>
        </w:rPr>
        <w:t xml:space="preserve">Bainbridge (1983)</w:t>
      </w:r>
      <w:r>
        <w:t xml:space="preserve"> </w:t>
      </w:r>
      <w:r>
        <w:t xml:space="preserve">and</w:t>
      </w:r>
      <w:r>
        <w:t xml:space="preserve"> </w:t>
      </w:r>
      <w:r>
        <w:rPr>
          <w:b/>
          <w:bCs/>
        </w:rPr>
        <w:t xml:space="preserve">Sparrow (2011)</w:t>
      </w:r>
      <w:r>
        <w:t xml:space="preserve"> </w:t>
      </w:r>
      <w:r>
        <w:t xml:space="preserve">/</w:t>
      </w:r>
      <w:r>
        <w:t xml:space="preserve"> </w:t>
      </w:r>
      <w:r>
        <w:rPr>
          <w:b/>
          <w:bCs/>
        </w:rPr>
        <w:t xml:space="preserve">Dahmani &amp; Bohbot (2020)</w:t>
      </w:r>
      <w:r>
        <w:t xml:space="preserve"> </w:t>
      </w:r>
      <w:r>
        <w:t xml:space="preserve">— give the deskilling/offloading construct historical and cross-domain depth in one or two sentences.</w:t>
      </w:r>
    </w:p>
    <w:p>
      <w:pPr>
        <w:pStyle w:val="Compact"/>
        <w:numPr>
          <w:ilvl w:val="0"/>
          <w:numId w:val="1001"/>
        </w:numPr>
      </w:pPr>
      <w:r>
        <w:rPr>
          <w:b/>
          <w:bCs/>
        </w:rPr>
        <w:t xml:space="preserve">Kestin et al. (2025)</w:t>
      </w:r>
      <w:r>
        <w:t xml:space="preserve"> </w:t>
      </w:r>
      <w:r>
        <w:t xml:space="preserve">— the positive AI-tutor RCT; cite it to</w:t>
      </w:r>
      <w:r>
        <w:t xml:space="preserve"> </w:t>
      </w:r>
      <w:r>
        <w:rPr>
          <w:i/>
          <w:iCs/>
        </w:rPr>
        <w:t xml:space="preserve">sharpen</w:t>
      </w:r>
      <w:r>
        <w:t xml:space="preserve"> </w:t>
      </w:r>
      <w:r>
        <w:t xml:space="preserve">(not soften) the deliberate-vs-incidental and</w:t>
      </w:r>
      <w:r>
        <w:t xml:space="preserve"> </w:t>
      </w:r>
      <w:r>
        <w:t xml:space="preserve">“tools-not-interchangeable”</w:t>
      </w:r>
      <w:r>
        <w:t xml:space="preserve"> </w:t>
      </w:r>
      <w:r>
        <w:t xml:space="preserve">points and to pre-empt</w:t>
      </w:r>
      <w:r>
        <w:t xml:space="preserve"> </w:t>
      </w:r>
      <w:r>
        <w:t xml:space="preserve">“but AI helps people learn.”</w:t>
      </w:r>
    </w:p>
    <w:p>
      <w:pPr>
        <w:pStyle w:val="Compact"/>
        <w:numPr>
          <w:ilvl w:val="0"/>
          <w:numId w:val="1001"/>
        </w:numPr>
      </w:pPr>
      <w:r>
        <w:rPr>
          <w:b/>
          <w:bCs/>
        </w:rPr>
        <w:t xml:space="preserve">Strong et al. (2023, JAMA Intern Med)</w:t>
      </w:r>
      <w:r>
        <w:t xml:space="preserve"> </w:t>
      </w:r>
      <w:r>
        <w:t xml:space="preserve">— Stanford, free-response clinical reasoning; methodologically and institutionally apt.</w:t>
      </w:r>
    </w:p>
    <w:p>
      <w:pPr>
        <w:pStyle w:val="Compact"/>
        <w:numPr>
          <w:ilvl w:val="0"/>
          <w:numId w:val="1001"/>
        </w:numPr>
      </w:pPr>
      <w:r>
        <w:rPr>
          <w:b/>
          <w:bCs/>
        </w:rPr>
        <w:t xml:space="preserve">Macnamara (2024)</w:t>
      </w:r>
      <w:r>
        <w:t xml:space="preserve"> </w:t>
      </w:r>
      <w:r>
        <w:t xml:space="preserve">is already added; pair it explicitly with the colonoscopy study as the two clinical deskilling demonstrations.</w:t>
      </w:r>
    </w:p>
    <w:p>
      <w:pPr>
        <w:pStyle w:val="Compact"/>
        <w:numPr>
          <w:ilvl w:val="0"/>
          <w:numId w:val="1001"/>
        </w:numPr>
      </w:pPr>
      <w:r>
        <w:rPr>
          <w:b/>
          <w:bCs/>
        </w:rPr>
        <w:t xml:space="preserve">One scoping review</w:t>
      </w:r>
      <w:r>
        <w:t xml:space="preserve"> </w:t>
      </w:r>
      <w:r>
        <w:t xml:space="preserve">(UME or GME) +</w:t>
      </w:r>
      <w:r>
        <w:t xml:space="preserve"> </w:t>
      </w:r>
      <w:r>
        <w:rPr>
          <w:b/>
          <w:bCs/>
        </w:rPr>
        <w:t xml:space="preserve">one uptake survey</w:t>
      </w:r>
      <w:r>
        <w:t xml:space="preserve"> </w:t>
      </w:r>
      <w:r>
        <w:t xml:space="preserve">— to show command of the field and to motivate urgency (60–85% trainee adoption).</w:t>
      </w:r>
    </w:p>
    <w:p>
      <w:pPr>
        <w:pStyle w:val="FirstParagraph"/>
      </w:pPr>
      <w:r>
        <w:t xml:space="preserve">This would roughly double the reference list (to ~28–31) and shift the review from</w:t>
      </w:r>
      <w:r>
        <w:t xml:space="preserve"> </w:t>
      </w:r>
      <w:r>
        <w:t xml:space="preserve">“selective and defensible”</w:t>
      </w:r>
      <w:r>
        <w:t xml:space="preserve"> </w:t>
      </w:r>
      <w:r>
        <w:t xml:space="preserve">to</w:t>
      </w:r>
      <w:r>
        <w:t xml:space="preserve"> </w:t>
      </w:r>
      <w:r>
        <w:t xml:space="preserve">“comprehensive.”</w:t>
      </w:r>
      <w:r>
        <w:t xml:space="preserve"> </w:t>
      </w:r>
      <w:r>
        <w:rPr>
          <w:b/>
          <w:bCs/>
        </w:rPr>
        <w:t xml:space="preserve">Caveat:</w:t>
      </w:r>
      <w:r>
        <w:t xml:space="preserve"> </w:t>
      </w:r>
      <w:r>
        <w:t xml:space="preserve">entries marked</w:t>
      </w:r>
      <w:r>
        <w:t xml:space="preserve"> </w:t>
      </w:r>
      <w:r>
        <w:rPr>
          <w:i/>
          <w:iCs/>
        </w:rPr>
        <w:t xml:space="preserve">(verify)</w:t>
      </w:r>
      <w:r>
        <w:t xml:space="preserve"> </w:t>
      </w:r>
      <w:r>
        <w:t xml:space="preserve">were assembled by literature search — confirm authors, volume, and pages against the primary sources before submission, and decide which preprints (Kosmyna; novice-programmer; Goh management) to cite as preprints vs. await final publication.</w:t>
      </w:r>
    </w:p>
    <w:p>
      <w:r>
        <w:pict>
          <v:rect style="width:0;height:1.5pt" o:hralign="center" o:hrstd="t" o:hr="t"/>
        </w:pict>
      </w:r>
    </w:p>
    <w:bookmarkEnd w:id="16"/>
    <w:bookmarkStart w:id="17" w:name="X4ed73efbf8d5a7e1b3d1997a6533403739146cc"/>
    <w:p>
      <w:pPr>
        <w:pStyle w:val="Heading2"/>
      </w:pPr>
      <w:r>
        <w:t xml:space="preserve">New since the last sweep (compiled 2026-08-25, covering roughly Feb–Aug 2026)</w:t>
      </w:r>
    </w:p>
    <w:p>
      <w:pPr>
        <w:pStyle w:val="FirstParagraph"/>
      </w:pPr>
      <w:r>
        <w:rPr>
          <w:b/>
          <w:bCs/>
        </w:rPr>
        <w:t xml:space="preserve">Headline for the manuscript: novelty is intact.</w:t>
      </w:r>
      <w:r>
        <w:t xml:space="preserve"> </w:t>
      </w:r>
      <w:r>
        <w:t xml:space="preserve">Nothing published in this window randomizes clinicians to AI versus a standard reference during clinical work and then measures unassisted knowledge afterward. The new literature strengthens the framing (the taxonomy is now mainstream and the deliberate-use evidence has a meta-analysis) and adds one genuine counterpoint to engage in the Discussion.</w:t>
      </w:r>
    </w:p>
    <w:p>
      <w:pPr>
        <w:pStyle w:val="BodyText"/>
      </w:pPr>
      <w:r>
        <w:rPr>
          <w:b/>
          <w:bCs/>
        </w:rPr>
        <w:t xml:space="preserve">NEW — Ke Y, et al. AI-induced never-skilling in medical education. Nat Med. 2026;32(6):1997–2006.</w:t>
      </w:r>
      <w:r>
        <w:t xml:space="preserve"> </w:t>
      </w:r>
      <w:r>
        <w:rPr>
          <w:i/>
          <w:iCs/>
        </w:rPr>
        <w:t xml:space="preserve">(verify author list)</w:t>
      </w:r>
      <w:r>
        <w:t xml:space="preserve"> </w:t>
      </w:r>
      <w:r>
        <w:t xml:space="preserve">Full peer-reviewed treatment of never-skilling, with a competency-protective framework, distinguishing it from de-skilling in experienced clinicians and from mis-skilling. Nature Medicine venue makes this the strongest citation for the taxonomy alongside Abdulnour. Add to the manuscript at the taxonomy sentence (currently ref 15 alone).</w:t>
      </w:r>
    </w:p>
    <w:p>
      <w:pPr>
        <w:pStyle w:val="BodyText"/>
      </w:pPr>
      <w:r>
        <w:rPr>
          <w:b/>
          <w:bCs/>
        </w:rPr>
        <w:t xml:space="preserve">NEW — The deskilling effect: is artificial intelligence eroding clinical competence? Ann Intern Med. 2026 (doi 10.7326/ANNALS-26-00613).</w:t>
      </w:r>
      <w:r>
        <w:t xml:space="preserve"> </w:t>
      </w:r>
      <w:r>
        <w:rPr>
          <w:i/>
          <w:iCs/>
        </w:rPr>
        <w:t xml:space="preserve">(verify authors/type)</w:t>
      </w:r>
      <w:r>
        <w:t xml:space="preserve"> </w:t>
      </w:r>
      <w:r>
        <w:t xml:space="preserve">The concern has reached the flagship internal-medicine journal — the study population’s own literature. Useful in the Introduction to show the worry is now mainstream in IM, still without randomized evidence for cognitive tasks.</w:t>
      </w:r>
    </w:p>
    <w:p>
      <w:pPr>
        <w:pStyle w:val="BodyText"/>
      </w:pPr>
      <w:r>
        <w:rPr>
          <w:b/>
          <w:bCs/>
        </w:rPr>
        <w:t xml:space="preserve">NEW — Systematic review and meta-analysis: integrating generative AI into medical education, short-term learning outcomes. 2026 (PMC13274167).</w:t>
      </w:r>
      <w:r>
        <w:t xml:space="preserve"> </w:t>
      </w:r>
      <w:r>
        <w:rPr>
          <w:i/>
          <w:iCs/>
        </w:rPr>
        <w:t xml:space="preserve">(verify citation)</w:t>
      </w:r>
      <w:r>
        <w:t xml:space="preserve"> </w:t>
      </w:r>
      <w:r>
        <w:t xml:space="preserve">Twenty RCTs, n = 1,413: generative-AI teaching interventions improved post-intervention knowledge and skill scores, retained at follow-up. This is the</w:t>
      </w:r>
      <w:r>
        <w:t xml:space="preserve"> </w:t>
      </w:r>
      <w:r>
        <w:rPr>
          <w:i/>
          <w:iCs/>
        </w:rPr>
        <w:t xml:space="preserve">deliberate-use</w:t>
      </w:r>
      <w:r>
        <w:t xml:space="preserve"> </w:t>
      </w:r>
      <w:r>
        <w:t xml:space="preserve">evidence base in aggregate — AI configured as a teaching tool works — which sharpens our distinction: the incidental case remains untested. Strong candidate to fill placeholder ref 16.</w:t>
      </w:r>
    </w:p>
    <w:p>
      <w:pPr>
        <w:pStyle w:val="BodyText"/>
      </w:pPr>
      <w:r>
        <w:rPr>
          <w:b/>
          <w:bCs/>
        </w:rPr>
        <w:t xml:space="preserve">NEW — The effectiveness of large language models in medical AI research for physicians: a randomized controlled trial. Cell Rep Med. 2025 (Nov; PMC12765838).</w:t>
      </w:r>
      <w:r>
        <w:t xml:space="preserve"> </w:t>
      </w:r>
      <w:r>
        <w:rPr>
          <w:i/>
          <w:iCs/>
        </w:rPr>
        <w:t xml:space="preserve">(verify citation)</w:t>
      </w:r>
      <w:r>
        <w:t xml:space="preserve"> </w:t>
      </w:r>
      <w:r>
        <w:t xml:space="preserve">Sixty-four junior ophthalmologists learned to build a machine-learning project with or without ChatGPT-3.5. The LLM group had higher completion (87.5% vs 25.0%) and higher</w:t>
      </w:r>
      <w:r>
        <w:t xml:space="preserve"> </w:t>
      </w:r>
      <w:r>
        <w:rPr>
          <w:i/>
          <w:iCs/>
        </w:rPr>
        <w:t xml:space="preserve">unassisted</w:t>
      </w:r>
      <w:r>
        <w:t xml:space="preserve"> </w:t>
      </w:r>
      <w:r>
        <w:t xml:space="preserve">completion, and after a two-week washout 41.2% completed a new project without LLM support. A genuine counterpoint: in a technical-skills domain, AI assistance scaffolded rather than eroded subsequent independent capability. Engage in the Discussion — outcome direction may be domain- and task-dependent.</w:t>
      </w:r>
    </w:p>
    <w:p>
      <w:pPr>
        <w:pStyle w:val="BodyText"/>
      </w:pPr>
      <w:r>
        <w:rPr>
          <w:b/>
          <w:bCs/>
        </w:rPr>
        <w:t xml:space="preserve">NEW — Comment on Kosmyna et al. arXiv:2601.00856 (Jan 2026).</w:t>
      </w:r>
      <w:r>
        <w:t xml:space="preserve"> </w:t>
      </w:r>
      <w:r>
        <w:t xml:space="preserve">Formal methodological critique of the</w:t>
      </w:r>
      <w:r>
        <w:t xml:space="preserve"> </w:t>
      </w:r>
      <w:r>
        <w:t xml:space="preserve">“cognitive debt”</w:t>
      </w:r>
      <w:r>
        <w:t xml:space="preserve"> </w:t>
      </w:r>
      <w:r>
        <w:t xml:space="preserve">EEG preprint (design, reproducibility, interpretation). Our manuscript cites Kosmyna (ref 7); keep the claim modest, keep the preprint label, or drop the neural-persistence clause if a reviewer pushes.</w:t>
      </w:r>
    </w:p>
    <w:p>
      <w:pPr>
        <w:pStyle w:val="BodyText"/>
      </w:pPr>
      <w:r>
        <w:rPr>
          <w:b/>
          <w:bCs/>
        </w:rPr>
        <w:t xml:space="preserve">NEW — Upskilling, deskilling, or never skilling — who benefits from AI in colonoscopy? 2026 (PMID 42250888).</w:t>
      </w:r>
      <w:r>
        <w:t xml:space="preserve"> </w:t>
      </w:r>
      <w:r>
        <w:t xml:space="preserve">Editorial applying the taxonomy within GI after the Budzyń data; evidence the vocabulary has propagated into specialty discourse.</w:t>
      </w:r>
    </w:p>
    <w:p>
      <w:pPr>
        <w:pStyle w:val="BodyText"/>
      </w:pPr>
      <w:r>
        <w:rPr>
          <w:b/>
          <w:bCs/>
        </w:rPr>
        <w:t xml:space="preserve">NEW — Generative AI-enabled clinical decision support in primary care: pragmatic cluster-randomized trial. Nat Med. 2026 (s41591-026-04503-6).</w:t>
      </w:r>
      <w:r>
        <w:t xml:space="preserve"> </w:t>
      </w:r>
      <w:r>
        <w:rPr>
          <w:i/>
          <w:iCs/>
        </w:rPr>
        <w:t xml:space="preserve">(verify)</w:t>
      </w:r>
      <w:r>
        <w:t xml:space="preserve"> </w:t>
      </w:r>
      <w:r>
        <w:t xml:space="preserve">Large point-of-care trial of GenAI decision support — assisted performance again, no learning outcome; updates the</w:t>
      </w:r>
      <w:r>
        <w:t xml:space="preserve"> </w:t>
      </w:r>
      <w:r>
        <w:t xml:space="preserve">“trials measure assisted performance”</w:t>
      </w:r>
      <w:r>
        <w:t xml:space="preserve"> </w:t>
      </w:r>
      <w:r>
        <w:t xml:space="preserve">sentence with a current flagship example.</w:t>
      </w:r>
    </w:p>
    <w:p>
      <w:pPr>
        <w:pStyle w:val="BodyText"/>
      </w:pPr>
      <w:r>
        <w:rPr>
          <w:b/>
          <w:bCs/>
        </w:rPr>
        <w:t xml:space="preserve">NEW — Specialized reasoning LLM for rare-disease diagnosis: randomized physician-assistance trial. arXiv:2606.24510 (Jun 2026).</w:t>
      </w:r>
      <w:r>
        <w:t xml:space="preserve"> </w:t>
      </w:r>
      <w:r>
        <w:t xml:space="preserve">Assisted-performance RCT in rare-disease diagnosis specifically — adjacent to our Fabry case; same endpoint gap.</w:t>
      </w:r>
    </w:p>
    <w:p>
      <w:pPr>
        <w:pStyle w:val="BodyText"/>
      </w:pPr>
      <w:r>
        <w:rPr>
          <w:b/>
          <w:bCs/>
        </w:rPr>
        <w:t xml:space="preserve">NEW — Path dependence under adaptive AI delegation. arXiv:2603.02950 (Mar 2026); Brainrot: deskilling and addiction are overlooked AI risks. arXiv:2605.03512 (May 2026); Oettl et al., From de-skilling to up-skilling, J Exp Orthop 2026.</w:t>
      </w:r>
      <w:r>
        <w:t xml:space="preserve"> </w:t>
      </w:r>
      <w:r>
        <w:t xml:space="preserve">Supporting texture: delegation dynamics and skill trajectories, a risks framing, and an optimistic up-skilling counterpoint. Optional citations; useful for the Discussion’s balance.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2026-08-25T23:51:41Z</dcterms:created>
  <dcterms:modified xsi:type="dcterms:W3CDTF">2026-08-25T23:51:41Z</dcterms:modified>
</cp:coreProperties>
</file>

<file path=docProps/custom.xml><?xml version="1.0" encoding="utf-8"?>
<Properties xmlns="http://schemas.openxmlformats.org/officeDocument/2006/custom-properties" xmlns:vt="http://schemas.openxmlformats.org/officeDocument/2006/docPropsVTypes"/>
</file>