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z w:val="30"/>
          <w:szCs w:val="30"/>
        </w:rPr>
        <w:t xml:space="preserve">Fabry Disease Knowledge Assessment — Final 12-Question Set</w:t>
      </w:r>
    </w:p>
    <w:p>
      <w:pPr>
        <w:spacing w:after="40"/>
      </w:pPr>
      <w:r>
        <w:rPr>
          <w:color w:val="666666"/>
          <w:sz w:val="18"/>
          <w:szCs w:val="18"/>
        </w:rPr>
        <w:t xml:space="preserve">Stanford IRB-86737 · Full questions, answer key, rationale &amp; pilot results · 2026-05-29</w:t>
      </w:r>
    </w:p>
    <w:p>
      <w:pPr>
        <w:spacing w:after="60"/>
      </w:pPr>
      <w:r>
        <w:rPr>
          <w:i/>
          <w:iCs/>
          <w:color w:val="777777"/>
          <w:sz w:val="18"/>
          <w:szCs w:val="18"/>
        </w:rPr>
        <w:t xml:space="preserve">The correct option is bold and marked “✓”. Selection keeps the hardest / most discriminating items and the "learned-while-caring-for-a-patient" questions, each tied to a task domain but not directly asking the task’s answer. Answer-key copy for study staff — not for participant distribution.</w:t>
      </w:r>
    </w:p>
    <w:p>
      <w:pPr>
        <w:pBdr>
          <w:bottom w:val="single" w:color="CCCCCC" w:sz="6" w:space="4"/>
        </w:pBdr>
        <w:spacing w:after="140"/>
      </w:pPr>
      <w:r>
        <w:t xml:space="preserve"/>
      </w:r>
    </w:p>
    <w:p>
      <w:pPr>
        <w:keepNext/>
        <w:spacing w:after="50" w:before="0"/>
      </w:pPr>
      <w:r>
        <w:rPr>
          <w:b/>
          <w:bCs/>
          <w:color w:val="2E5E8C"/>
          <w:sz w:val="24"/>
          <w:szCs w:val="24"/>
        </w:rPr>
        <w:t xml:space="preserve">Q1</w:t>
      </w:r>
      <w:r>
        <w:rPr>
          <w:color w:val="666666"/>
          <w:sz w:val="18"/>
          <w:szCs w:val="18"/>
        </w:rPr>
        <w:t xml:space="preserve">   ·   History   ·   Pilot: 4/6 (67%)</w:t>
      </w:r>
    </w:p>
    <w:p>
      <w:pPr>
        <w:keepNext/>
        <w:spacing w:after="60"/>
      </w:pPr>
      <w:r>
        <w:rPr>
          <w:sz w:val="21"/>
          <w:szCs w:val="21"/>
        </w:rPr>
        <w:t xml:space="preserve">Episodes of severe burning pain in the hands and feet, present since childhood, in this disease are most characteristically triggered by: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A.  </w:t>
      </w:r>
      <w:r>
        <w:rPr>
          <w:b/>
          <w:bCs/>
          <w:sz w:val="21"/>
          <w:szCs w:val="21"/>
        </w:rPr>
        <w:t xml:space="preserve">Heat, fever, and physical exertion</w:t>
      </w:r>
      <w:r>
        <w:rPr>
          <w:b/>
          <w:bCs/>
          <w:color w:val="1B7A3D"/>
          <w:sz w:val="21"/>
          <w:szCs w:val="21"/>
        </w:rPr>
        <w:t xml:space="preserve">   ✓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B.  </w:t>
      </w:r>
      <w:r>
        <w:rPr>
          <w:b w:val="false"/>
          <w:bCs w:val="false"/>
          <w:sz w:val="21"/>
          <w:szCs w:val="21"/>
        </w:rPr>
        <w:t xml:space="preserve">Cold exposure, stress, and certain foods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C.  </w:t>
      </w:r>
      <w:r>
        <w:rPr>
          <w:b w:val="false"/>
          <w:bCs w:val="false"/>
          <w:sz w:val="21"/>
          <w:szCs w:val="21"/>
        </w:rPr>
        <w:t xml:space="preserve">Sustained pressure on the affected limbs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D.  </w:t>
      </w:r>
      <w:r>
        <w:rPr>
          <w:b w:val="false"/>
          <w:bCs w:val="false"/>
          <w:sz w:val="21"/>
          <w:szCs w:val="21"/>
        </w:rPr>
        <w:t xml:space="preserve">Prolonged immobility, such as long flights or bed rest</w:t>
      </w:r>
    </w:p>
    <w:p>
      <w:pPr>
        <w:spacing w:after="0" w:before="40"/>
        <w:ind w:left="360"/>
      </w:pPr>
      <w:r>
        <w:rPr>
          <w:b/>
          <w:bCs/>
          <w:i/>
          <w:iCs/>
          <w:color w:val="555555"/>
          <w:sz w:val="18"/>
          <w:szCs w:val="18"/>
        </w:rPr>
        <w:t xml:space="preserve">Why kept: </w:t>
      </w:r>
      <w:r>
        <w:rPr>
          <w:i/>
          <w:iCs/>
          <w:color w:val="555555"/>
          <w:sz w:val="18"/>
          <w:szCs w:val="18"/>
        </w:rPr>
        <w:t xml:space="preserve">Classic Fabry pain pattern; tests the common "cold-trigger" misconception. Discriminating.</w:t>
      </w:r>
    </w:p>
    <w:p>
      <w:pPr>
        <w:keepNext/>
        <w:spacing w:after="50" w:before="200"/>
      </w:pPr>
      <w:r>
        <w:rPr>
          <w:b/>
          <w:bCs/>
          <w:color w:val="2E5E8C"/>
          <w:sz w:val="24"/>
          <w:szCs w:val="24"/>
        </w:rPr>
        <w:t xml:space="preserve">Q3</w:t>
      </w:r>
      <w:r>
        <w:rPr>
          <w:color w:val="666666"/>
          <w:sz w:val="18"/>
          <w:szCs w:val="18"/>
        </w:rPr>
        <w:t xml:space="preserve">   ·   History   ·   Pilot: 5/6 (83%)</w:t>
      </w:r>
    </w:p>
    <w:p>
      <w:pPr>
        <w:keepNext/>
        <w:spacing w:after="60"/>
      </w:pPr>
      <w:r>
        <w:rPr>
          <w:sz w:val="21"/>
          <w:szCs w:val="21"/>
        </w:rPr>
        <w:t xml:space="preserve">A patient with this disease has a long-standing diagnosis of irritable bowel syndrome with episodic abdominal pain and diarrhea. This gastrointestinal pattern is most likely: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A.  </w:t>
      </w:r>
      <w:r>
        <w:rPr>
          <w:b w:val="false"/>
          <w:bCs w:val="false"/>
          <w:sz w:val="21"/>
          <w:szCs w:val="21"/>
        </w:rPr>
        <w:t xml:space="preserve">A coincidental functional bowel disorder unrelated to the underlying disease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B.  </w:t>
      </w:r>
      <w:r>
        <w:rPr>
          <w:b w:val="false"/>
          <w:bCs w:val="false"/>
          <w:sz w:val="21"/>
          <w:szCs w:val="21"/>
        </w:rPr>
        <w:t xml:space="preserve">An adverse effect of the chronic neuropathic-pain medications he takes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C.  </w:t>
      </w:r>
      <w:r>
        <w:rPr>
          <w:b/>
          <w:bCs/>
          <w:sz w:val="21"/>
          <w:szCs w:val="21"/>
        </w:rPr>
        <w:t xml:space="preserve">A direct gastrointestinal manifestation of the disease, often predating its diagnosis</w:t>
      </w:r>
      <w:r>
        <w:rPr>
          <w:b/>
          <w:bCs/>
          <w:color w:val="1B7A3D"/>
          <w:sz w:val="21"/>
          <w:szCs w:val="21"/>
        </w:rPr>
        <w:t xml:space="preserve">   ✓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D.  </w:t>
      </w:r>
      <w:r>
        <w:rPr>
          <w:b w:val="false"/>
          <w:bCs w:val="false"/>
          <w:sz w:val="21"/>
          <w:szCs w:val="21"/>
        </w:rPr>
        <w:t xml:space="preserve">A sign of mesenteric ischemia from vascular involvement, warranting urgent mesenteric angiography</w:t>
      </w:r>
    </w:p>
    <w:p>
      <w:pPr>
        <w:spacing w:after="0" w:before="40"/>
        <w:ind w:left="360"/>
      </w:pPr>
      <w:r>
        <w:rPr>
          <w:b/>
          <w:bCs/>
          <w:i/>
          <w:iCs/>
          <w:color w:val="555555"/>
          <w:sz w:val="18"/>
          <w:szCs w:val="18"/>
        </w:rPr>
        <w:t xml:space="preserve">Why kept: </w:t>
      </w:r>
      <w:r>
        <w:rPr>
          <w:i/>
          <w:iCs/>
          <w:color w:val="555555"/>
          <w:sz w:val="18"/>
          <w:szCs w:val="18"/>
        </w:rPr>
        <w:t xml:space="preserve">A frequently-missed Fabry manifestation; rewards seeing the GI pattern as part of the disease, not a separate problem.</w:t>
      </w:r>
    </w:p>
    <w:p>
      <w:pPr>
        <w:keepNext/>
        <w:spacing w:after="50" w:before="200"/>
      </w:pPr>
      <w:r>
        <w:rPr>
          <w:b/>
          <w:bCs/>
          <w:color w:val="2E5E8C"/>
          <w:sz w:val="24"/>
          <w:szCs w:val="24"/>
        </w:rPr>
        <w:t xml:space="preserve">Q5</w:t>
      </w:r>
      <w:r>
        <w:rPr>
          <w:color w:val="666666"/>
          <w:sz w:val="18"/>
          <w:szCs w:val="18"/>
        </w:rPr>
        <w:t xml:space="preserve">   ·   Exam   ·   Pilot: 1/6 (17%)</w:t>
      </w:r>
    </w:p>
    <w:p>
      <w:pPr>
        <w:keepNext/>
        <w:spacing w:after="60"/>
      </w:pPr>
      <w:r>
        <w:rPr>
          <w:sz w:val="21"/>
          <w:szCs w:val="21"/>
        </w:rPr>
        <w:t xml:space="preserve">Cornea verticillata (bilateral whorl-like opacities of the corneal epithelium) is observed on slit-lamp examination. Which of the following is true about this finding?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A.  </w:t>
      </w:r>
      <w:r>
        <w:rPr>
          <w:b w:val="false"/>
          <w:bCs w:val="false"/>
          <w:sz w:val="21"/>
          <w:szCs w:val="21"/>
        </w:rPr>
        <w:t xml:space="preserve">It is pathognomonic for this disease and reliably excludes all other diagnoses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B.  </w:t>
      </w:r>
      <w:r>
        <w:rPr>
          <w:b w:val="false"/>
          <w:bCs w:val="false"/>
          <w:sz w:val="21"/>
          <w:szCs w:val="21"/>
        </w:rPr>
        <w:t xml:space="preserve">It typically causes progressive visual loss that requires corneal transplantation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C.  </w:t>
      </w:r>
      <w:r>
        <w:rPr>
          <w:b/>
          <w:bCs/>
          <w:sz w:val="21"/>
          <w:szCs w:val="21"/>
        </w:rPr>
        <w:t xml:space="preserve">It also occurs with chronic amiodarone, chloroquine, or hydroxychloroquine therapy</w:t>
      </w:r>
      <w:r>
        <w:rPr>
          <w:b/>
          <w:bCs/>
          <w:color w:val="1B7A3D"/>
          <w:sz w:val="21"/>
          <w:szCs w:val="21"/>
        </w:rPr>
        <w:t xml:space="preserve">   ✓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D.  </w:t>
      </w:r>
      <w:r>
        <w:rPr>
          <w:b w:val="false"/>
          <w:bCs w:val="false"/>
          <w:sz w:val="21"/>
          <w:szCs w:val="21"/>
        </w:rPr>
        <w:t xml:space="preserve">It is usually markedly asymmetric, affecting only one eye in the majority of patients</w:t>
      </w:r>
    </w:p>
    <w:p>
      <w:pPr>
        <w:spacing w:after="0" w:before="40"/>
        <w:ind w:left="360"/>
      </w:pPr>
      <w:r>
        <w:rPr>
          <w:b/>
          <w:bCs/>
          <w:i/>
          <w:iCs/>
          <w:color w:val="555555"/>
          <w:sz w:val="18"/>
          <w:szCs w:val="18"/>
        </w:rPr>
        <w:t xml:space="preserve">Why kept: </w:t>
      </w:r>
      <w:r>
        <w:rPr>
          <w:i/>
          <w:iCs/>
          <w:color w:val="555555"/>
          <w:sz w:val="18"/>
          <w:szCs w:val="18"/>
        </w:rPr>
        <w:t xml:space="preserve">Hardest item. Tests that the "classic" eye sign is not pathognomonic (also drug-induced) — a key bedside nuance.</w:t>
      </w:r>
    </w:p>
    <w:p>
      <w:pPr>
        <w:keepNext/>
        <w:spacing w:after="50" w:before="200"/>
      </w:pPr>
      <w:r>
        <w:rPr>
          <w:b/>
          <w:bCs/>
          <w:color w:val="2E5E8C"/>
          <w:sz w:val="24"/>
          <w:szCs w:val="24"/>
        </w:rPr>
        <w:t xml:space="preserve">Q6</w:t>
      </w:r>
      <w:r>
        <w:rPr>
          <w:color w:val="666666"/>
          <w:sz w:val="18"/>
          <w:szCs w:val="18"/>
        </w:rPr>
        <w:t xml:space="preserve">   ·   Exam   ·   Pilot: 4/6 (67%)</w:t>
      </w:r>
    </w:p>
    <w:p>
      <w:pPr>
        <w:keepNext/>
        <w:spacing w:after="60"/>
      </w:pPr>
      <w:r>
        <w:rPr>
          <w:sz w:val="21"/>
          <w:szCs w:val="21"/>
        </w:rPr>
        <w:t xml:space="preserve">Sensory examination of a patient with this disease typically shows: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A.  </w:t>
      </w:r>
      <w:r>
        <w:rPr>
          <w:b/>
          <w:bCs/>
          <w:sz w:val="21"/>
          <w:szCs w:val="21"/>
        </w:rPr>
        <w:t xml:space="preserve">Reduced pinprick and temperature sensation distally, with preserved vibration sense</w:t>
      </w:r>
      <w:r>
        <w:rPr>
          <w:b/>
          <w:bCs/>
          <w:color w:val="1B7A3D"/>
          <w:sz w:val="21"/>
          <w:szCs w:val="21"/>
        </w:rPr>
        <w:t xml:space="preserve">   ✓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B.  </w:t>
      </w:r>
      <w:r>
        <w:rPr>
          <w:b w:val="false"/>
          <w:bCs w:val="false"/>
          <w:sz w:val="21"/>
          <w:szCs w:val="21"/>
        </w:rPr>
        <w:t xml:space="preserve">Reduced vibration and proprioception in the feet, with preserved pinprick and temperature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C.  </w:t>
      </w:r>
      <w:r>
        <w:rPr>
          <w:b w:val="false"/>
          <w:bCs w:val="false"/>
          <w:sz w:val="21"/>
          <w:szCs w:val="21"/>
        </w:rPr>
        <w:t xml:space="preserve">A patchy, asymmetric sensory deficit consistent with a mononeuritis multiplex pattern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D.  </w:t>
      </w:r>
      <w:r>
        <w:rPr>
          <w:b w:val="false"/>
          <w:bCs w:val="false"/>
          <w:sz w:val="21"/>
          <w:szCs w:val="21"/>
        </w:rPr>
        <w:t xml:space="preserve">A symmetric 'stocking-glove' loss of all sensory modalities with absent ankle reflexes</w:t>
      </w:r>
    </w:p>
    <w:p>
      <w:pPr>
        <w:spacing w:after="0" w:before="40"/>
        <w:ind w:left="360"/>
      </w:pPr>
      <w:r>
        <w:rPr>
          <w:b/>
          <w:bCs/>
          <w:i/>
          <w:iCs/>
          <w:color w:val="555555"/>
          <w:sz w:val="18"/>
          <w:szCs w:val="18"/>
        </w:rPr>
        <w:t xml:space="preserve">Why kept: </w:t>
      </w:r>
      <w:r>
        <w:rPr>
          <w:i/>
          <w:iCs/>
          <w:color w:val="555555"/>
          <w:sz w:val="18"/>
          <w:szCs w:val="18"/>
        </w:rPr>
        <w:t xml:space="preserve">Distinguishes Fabry small-fiber neuropathy from the diabetic "stocking-glove" pattern.</w:t>
      </w:r>
    </w:p>
    <w:p>
      <w:pPr>
        <w:keepNext/>
        <w:spacing w:after="50" w:before="200"/>
      </w:pPr>
      <w:r>
        <w:rPr>
          <w:b/>
          <w:bCs/>
          <w:color w:val="2E5E8C"/>
          <w:sz w:val="24"/>
          <w:szCs w:val="24"/>
        </w:rPr>
        <w:t xml:space="preserve">Q9</w:t>
      </w:r>
      <w:r>
        <w:rPr>
          <w:color w:val="666666"/>
          <w:sz w:val="18"/>
          <w:szCs w:val="18"/>
        </w:rPr>
        <w:t xml:space="preserve">   ·   Workup   ·   Pilot: 3/6 (50%)</w:t>
      </w:r>
    </w:p>
    <w:p>
      <w:pPr>
        <w:keepNext/>
        <w:spacing w:after="60"/>
      </w:pPr>
      <w:r>
        <w:rPr>
          <w:sz w:val="21"/>
          <w:szCs w:val="21"/>
        </w:rPr>
        <w:t xml:space="preserve">Which of the following ECG findings is characteristic of cardiac involvement in this disease, particularly in earlier stages?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A.  </w:t>
      </w:r>
      <w:r>
        <w:rPr>
          <w:b w:val="false"/>
          <w:bCs w:val="false"/>
          <w:sz w:val="21"/>
          <w:szCs w:val="21"/>
        </w:rPr>
        <w:t xml:space="preserve">A prolonged QTc interval with marked T-wave inversion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B.  </w:t>
      </w:r>
      <w:r>
        <w:rPr>
          <w:b w:val="false"/>
          <w:bCs w:val="false"/>
          <w:sz w:val="21"/>
          <w:szCs w:val="21"/>
        </w:rPr>
        <w:t xml:space="preserve">Right bundle branch block with marked right axis deviation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C.  </w:t>
      </w:r>
      <w:r>
        <w:rPr>
          <w:b w:val="false"/>
          <w:bCs w:val="false"/>
          <w:sz w:val="21"/>
          <w:szCs w:val="21"/>
        </w:rPr>
        <w:t xml:space="preserve">Pathologic Q waves in the inferior and lateral leads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D.  </w:t>
      </w:r>
      <w:r>
        <w:rPr>
          <w:b/>
          <w:bCs/>
          <w:sz w:val="21"/>
          <w:szCs w:val="21"/>
        </w:rPr>
        <w:t xml:space="preserve">A short PR interval, often less than 120 milliseconds</w:t>
      </w:r>
      <w:r>
        <w:rPr>
          <w:b/>
          <w:bCs/>
          <w:color w:val="1B7A3D"/>
          <w:sz w:val="21"/>
          <w:szCs w:val="21"/>
        </w:rPr>
        <w:t xml:space="preserve">   ✓</w:t>
      </w:r>
    </w:p>
    <w:p>
      <w:pPr>
        <w:spacing w:after="0" w:before="40"/>
        <w:ind w:left="360"/>
      </w:pPr>
      <w:r>
        <w:rPr>
          <w:b/>
          <w:bCs/>
          <w:i/>
          <w:iCs/>
          <w:color w:val="555555"/>
          <w:sz w:val="18"/>
          <w:szCs w:val="18"/>
        </w:rPr>
        <w:t xml:space="preserve">Why kept: </w:t>
      </w:r>
      <w:r>
        <w:rPr>
          <w:i/>
          <w:iCs/>
          <w:color w:val="555555"/>
          <w:sz w:val="18"/>
          <w:szCs w:val="18"/>
        </w:rPr>
        <w:t xml:space="preserve">Subtle cardiac clue you learn to look for on the ECG; strong discriminator among residents.</w:t>
      </w:r>
    </w:p>
    <w:p>
      <w:pPr>
        <w:keepNext/>
        <w:spacing w:after="50" w:before="200"/>
      </w:pPr>
      <w:r>
        <w:rPr>
          <w:b/>
          <w:bCs/>
          <w:color w:val="2E5E8C"/>
          <w:sz w:val="24"/>
          <w:szCs w:val="24"/>
        </w:rPr>
        <w:t xml:space="preserve">Q10</w:t>
      </w:r>
      <w:r>
        <w:rPr>
          <w:color w:val="666666"/>
          <w:sz w:val="18"/>
          <w:szCs w:val="18"/>
        </w:rPr>
        <w:t xml:space="preserve">   ·   Management   ·   Pilot: 5/6 (83%)</w:t>
      </w:r>
    </w:p>
    <w:p>
      <w:pPr>
        <w:keepNext/>
        <w:spacing w:after="60"/>
      </w:pPr>
      <w:r>
        <w:rPr>
          <w:sz w:val="21"/>
          <w:szCs w:val="21"/>
        </w:rPr>
        <w:t xml:space="preserve">Migalastat (Galafold) for this disease: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A.  </w:t>
      </w:r>
      <w:r>
        <w:rPr>
          <w:b w:val="false"/>
          <w:bCs w:val="false"/>
          <w:sz w:val="21"/>
          <w:szCs w:val="21"/>
        </w:rPr>
        <w:t xml:space="preserve">Is an oral substrate reduction therapy that inhibits the enzyme glucosylceramide synthase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B.  </w:t>
      </w:r>
      <w:r>
        <w:rPr>
          <w:b/>
          <w:bCs/>
          <w:sz w:val="21"/>
          <w:szCs w:val="21"/>
        </w:rPr>
        <w:t xml:space="preserve">Is a pharmacologic chaperone that works only in patients with 'amenable' GLA mutations</w:t>
      </w:r>
      <w:r>
        <w:rPr>
          <w:b/>
          <w:bCs/>
          <w:color w:val="1B7A3D"/>
          <w:sz w:val="21"/>
          <w:szCs w:val="21"/>
        </w:rPr>
        <w:t xml:space="preserve">   ✓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C.  </w:t>
      </w:r>
      <w:r>
        <w:rPr>
          <w:b w:val="false"/>
          <w:bCs w:val="false"/>
          <w:sz w:val="21"/>
          <w:szCs w:val="21"/>
        </w:rPr>
        <w:t xml:space="preserve">Is given intravenously every two weeks alongside standard enzyme replacement therapy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D.  </w:t>
      </w:r>
      <w:r>
        <w:rPr>
          <w:b w:val="false"/>
          <w:bCs w:val="false"/>
          <w:sz w:val="21"/>
          <w:szCs w:val="21"/>
        </w:rPr>
        <w:t xml:space="preserve">Is curative when it is combined with hematopoietic stem-cell transplantation early on</w:t>
      </w:r>
    </w:p>
    <w:p>
      <w:pPr>
        <w:spacing w:after="0" w:before="40"/>
        <w:ind w:left="360"/>
      </w:pPr>
      <w:r>
        <w:rPr>
          <w:b/>
          <w:bCs/>
          <w:i/>
          <w:iCs/>
          <w:color w:val="555555"/>
          <w:sz w:val="18"/>
          <w:szCs w:val="18"/>
        </w:rPr>
        <w:t xml:space="preserve">Why kept: </w:t>
      </w:r>
      <w:r>
        <w:rPr>
          <w:i/>
          <w:iCs/>
          <w:color w:val="555555"/>
          <w:sz w:val="18"/>
          <w:szCs w:val="18"/>
        </w:rPr>
        <w:t xml:space="preserve">Practical, genotype-specific therapy nuance; not all Fabry patients are eligible for migalastat.</w:t>
      </w:r>
    </w:p>
    <w:p>
      <w:pPr>
        <w:keepNext/>
        <w:spacing w:after="50" w:before="200"/>
      </w:pPr>
      <w:r>
        <w:rPr>
          <w:b/>
          <w:bCs/>
          <w:color w:val="2E5E8C"/>
          <w:sz w:val="24"/>
          <w:szCs w:val="24"/>
        </w:rPr>
        <w:t xml:space="preserve">Q12</w:t>
      </w:r>
      <w:r>
        <w:rPr>
          <w:color w:val="666666"/>
          <w:sz w:val="18"/>
          <w:szCs w:val="18"/>
        </w:rPr>
        <w:t xml:space="preserve">   ·   Patient instructions   ·   Pilot: 5/6 (83%)</w:t>
      </w:r>
    </w:p>
    <w:p>
      <w:pPr>
        <w:keepNext/>
        <w:spacing w:after="60"/>
      </w:pPr>
      <w:r>
        <w:rPr>
          <w:sz w:val="21"/>
          <w:szCs w:val="21"/>
        </w:rPr>
        <w:t xml:space="preserve">You are counseling a male patient with this disease about implications for his future children. Which of the following statements is most accurate?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A.  </w:t>
      </w:r>
      <w:r>
        <w:rPr>
          <w:b w:val="false"/>
          <w:bCs w:val="false"/>
          <w:sz w:val="21"/>
          <w:szCs w:val="21"/>
        </w:rPr>
        <w:t xml:space="preserve">Each of his children, regardless of sex, has a 50% chance of inheriting the mutation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B.  </w:t>
      </w:r>
      <w:r>
        <w:rPr>
          <w:b w:val="false"/>
          <w:bCs w:val="false"/>
          <w:sz w:val="21"/>
          <w:szCs w:val="21"/>
        </w:rPr>
        <w:t xml:space="preserve">Only his sons are at risk; his daughters cannot inherit the mutation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C.  </w:t>
      </w:r>
      <w:r>
        <w:rPr>
          <w:b w:val="false"/>
          <w:bCs w:val="false"/>
          <w:sz w:val="21"/>
          <w:szCs w:val="21"/>
        </w:rPr>
        <w:t xml:space="preserve">None of his children are at increased risk because the disease typically arises de novo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D.  </w:t>
      </w:r>
      <w:r>
        <w:rPr>
          <w:b/>
          <w:bCs/>
          <w:sz w:val="21"/>
          <w:szCs w:val="21"/>
        </w:rPr>
        <w:t xml:space="preserve">All of his daughters will inherit the mutation; none of his sons will inherit it</w:t>
      </w:r>
      <w:r>
        <w:rPr>
          <w:b/>
          <w:bCs/>
          <w:color w:val="1B7A3D"/>
          <w:sz w:val="21"/>
          <w:szCs w:val="21"/>
        </w:rPr>
        <w:t xml:space="preserve">   ✓</w:t>
      </w:r>
    </w:p>
    <w:p>
      <w:pPr>
        <w:spacing w:after="0" w:before="40"/>
        <w:ind w:left="360"/>
      </w:pPr>
      <w:r>
        <w:rPr>
          <w:b/>
          <w:bCs/>
          <w:i/>
          <w:iCs/>
          <w:color w:val="555555"/>
          <w:sz w:val="18"/>
          <w:szCs w:val="18"/>
        </w:rPr>
        <w:t xml:space="preserve">Why kept: </w:t>
      </w:r>
      <w:r>
        <w:rPr>
          <w:i/>
          <w:iCs/>
          <w:color w:val="555555"/>
          <w:sz w:val="18"/>
          <w:szCs w:val="18"/>
        </w:rPr>
        <w:t xml:space="preserve">X-linked counseling done at the visit; trap of autosomal-dominant 50/50 thinking.</w:t>
      </w:r>
    </w:p>
    <w:p>
      <w:pPr>
        <w:keepNext/>
        <w:spacing w:after="50" w:before="200"/>
      </w:pPr>
      <w:r>
        <w:rPr>
          <w:b/>
          <w:bCs/>
          <w:color w:val="2E5E8C"/>
          <w:sz w:val="24"/>
          <w:szCs w:val="24"/>
        </w:rPr>
        <w:t xml:space="preserve">Q23</w:t>
      </w:r>
      <w:r>
        <w:rPr>
          <w:color w:val="666666"/>
          <w:sz w:val="18"/>
          <w:szCs w:val="18"/>
        </w:rPr>
        <w:t xml:space="preserve">   ·   Management (cardiac)   ·   Pilot: no pilot data</w:t>
      </w:r>
    </w:p>
    <w:p>
      <w:pPr>
        <w:keepNext/>
        <w:spacing w:after="60"/>
      </w:pPr>
      <w:r>
        <w:rPr>
          <w:sz w:val="21"/>
          <w:szCs w:val="21"/>
        </w:rPr>
        <w:t xml:space="preserve">Beyond left ventricular hypertrophy, which of the following is another characteristic cardiac manifestation of Fabry disease?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A.  </w:t>
      </w:r>
      <w:r>
        <w:rPr>
          <w:b w:val="false"/>
          <w:bCs w:val="false"/>
          <w:sz w:val="21"/>
          <w:szCs w:val="21"/>
        </w:rPr>
        <w:t xml:space="preserve">Recurrent paroxysmal supraventricular tachycardia arising from a congenital accessory pathway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B.  </w:t>
      </w:r>
      <w:r>
        <w:rPr>
          <w:b/>
          <w:bCs/>
          <w:sz w:val="21"/>
          <w:szCs w:val="21"/>
        </w:rPr>
        <w:t xml:space="preserve">Progressive conduction disease and arrhythmias, such as AV block and atrial fibrillation</w:t>
      </w:r>
      <w:r>
        <w:rPr>
          <w:b/>
          <w:bCs/>
          <w:color w:val="1B7A3D"/>
          <w:sz w:val="21"/>
          <w:szCs w:val="21"/>
        </w:rPr>
        <w:t xml:space="preserve">   ✓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C.  </w:t>
      </w:r>
      <w:r>
        <w:rPr>
          <w:b w:val="false"/>
          <w:bCs w:val="false"/>
          <w:sz w:val="21"/>
          <w:szCs w:val="21"/>
        </w:rPr>
        <w:t xml:space="preserve">Congenital long-QT syndrome that predisposes the patient to torsades de pointes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D.  </w:t>
      </w:r>
      <w:r>
        <w:rPr>
          <w:b w:val="false"/>
          <w:bCs w:val="false"/>
          <w:sz w:val="21"/>
          <w:szCs w:val="21"/>
        </w:rPr>
        <w:t xml:space="preserve">Pulmonary arterial hypertension that leads to progressive right heart failure</w:t>
      </w:r>
    </w:p>
    <w:p>
      <w:pPr>
        <w:spacing w:after="0" w:before="40"/>
        <w:ind w:left="360"/>
      </w:pPr>
      <w:r>
        <w:rPr>
          <w:b/>
          <w:bCs/>
          <w:i/>
          <w:iCs/>
          <w:color w:val="555555"/>
          <w:sz w:val="18"/>
          <w:szCs w:val="18"/>
        </w:rPr>
        <w:t xml:space="preserve">Why kept: </w:t>
      </w:r>
      <w:r>
        <w:rPr>
          <w:i/>
          <w:iCs/>
          <w:color w:val="555555"/>
          <w:sz w:val="18"/>
          <w:szCs w:val="18"/>
        </w:rPr>
        <w:t xml:space="preserve">Long-term cardiac care learned while managing Fabry patients; beyond the LVH everyone names.</w:t>
      </w:r>
    </w:p>
    <w:p>
      <w:pPr>
        <w:keepNext/>
        <w:spacing w:after="50" w:before="200"/>
      </w:pPr>
      <w:r>
        <w:rPr>
          <w:b/>
          <w:bCs/>
          <w:color w:val="2E5E8C"/>
          <w:sz w:val="24"/>
          <w:szCs w:val="24"/>
        </w:rPr>
        <w:t xml:space="preserve">Q24</w:t>
      </w:r>
      <w:r>
        <w:rPr>
          <w:color w:val="666666"/>
          <w:sz w:val="18"/>
          <w:szCs w:val="18"/>
        </w:rPr>
        <w:t xml:space="preserve">   ·   Workup / monitoring   ·   Pilot: no pilot data</w:t>
      </w:r>
    </w:p>
    <w:p>
      <w:pPr>
        <w:keepNext/>
        <w:spacing w:after="60"/>
      </w:pPr>
      <w:r>
        <w:rPr>
          <w:sz w:val="21"/>
          <w:szCs w:val="21"/>
        </w:rPr>
        <w:t xml:space="preserve">In a patient on enzyme replacement therapy for Fabry disease, which blood test best reflects biochemical disease activity and treatment response over time?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A.  </w:t>
      </w:r>
      <w:r>
        <w:rPr>
          <w:b w:val="false"/>
          <w:bCs w:val="false"/>
          <w:sz w:val="21"/>
          <w:szCs w:val="21"/>
        </w:rPr>
        <w:t xml:space="preserve">Plasma globotriaosylceramide (Gb3) concentration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B.  </w:t>
      </w:r>
      <w:r>
        <w:rPr>
          <w:b/>
          <w:bCs/>
          <w:sz w:val="21"/>
          <w:szCs w:val="21"/>
        </w:rPr>
        <w:t xml:space="preserve">Plasma globotriaosylsphingosine (lyso-Gb3)</w:t>
      </w:r>
      <w:r>
        <w:rPr>
          <w:b/>
          <w:bCs/>
          <w:color w:val="1B7A3D"/>
          <w:sz w:val="21"/>
          <w:szCs w:val="21"/>
        </w:rPr>
        <w:t xml:space="preserve">   ✓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C.  </w:t>
      </w:r>
      <w:r>
        <w:rPr>
          <w:b w:val="false"/>
          <w:bCs w:val="false"/>
          <w:sz w:val="21"/>
          <w:szCs w:val="21"/>
        </w:rPr>
        <w:t xml:space="preserve">Leukocyte alpha-galactosidase A enzyme activity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D.  </w:t>
      </w:r>
      <w:r>
        <w:rPr>
          <w:b w:val="false"/>
          <w:bCs w:val="false"/>
          <w:sz w:val="21"/>
          <w:szCs w:val="21"/>
        </w:rPr>
        <w:t xml:space="preserve">A 24-hour urine protein-to-creatinine ratio</w:t>
      </w:r>
    </w:p>
    <w:p>
      <w:pPr>
        <w:spacing w:after="0" w:before="40"/>
        <w:ind w:left="360"/>
      </w:pPr>
      <w:r>
        <w:rPr>
          <w:b/>
          <w:bCs/>
          <w:i/>
          <w:iCs/>
          <w:color w:val="555555"/>
          <w:sz w:val="18"/>
          <w:szCs w:val="18"/>
        </w:rPr>
        <w:t xml:space="preserve">Why kept: </w:t>
      </w:r>
      <w:r>
        <w:rPr>
          <w:i/>
          <w:iCs/>
          <w:color w:val="555555"/>
          <w:sz w:val="18"/>
          <w:szCs w:val="18"/>
        </w:rPr>
        <w:t xml:space="preserve">Learned while following a patient on treatment; a monitoring marker, not the diagnostic test.</w:t>
      </w:r>
    </w:p>
    <w:p>
      <w:pPr>
        <w:keepNext/>
        <w:spacing w:after="50" w:before="200"/>
      </w:pPr>
      <w:r>
        <w:rPr>
          <w:b/>
          <w:bCs/>
          <w:color w:val="2E5E8C"/>
          <w:sz w:val="24"/>
          <w:szCs w:val="24"/>
        </w:rPr>
        <w:t xml:space="preserve">Q25</w:t>
      </w:r>
      <w:r>
        <w:rPr>
          <w:color w:val="666666"/>
          <w:sz w:val="18"/>
          <w:szCs w:val="18"/>
        </w:rPr>
        <w:t xml:space="preserve">   ·   Neurology   ·   Pilot: no pilot data</w:t>
      </w:r>
    </w:p>
    <w:p>
      <w:pPr>
        <w:keepNext/>
        <w:spacing w:after="60"/>
      </w:pPr>
      <w:r>
        <w:rPr>
          <w:sz w:val="21"/>
          <w:szCs w:val="21"/>
        </w:rPr>
        <w:t xml:space="preserve">Patients with Fabry disease are at markedly increased risk of stroke, often at a young age. Which stroke pattern is most characteristic?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A.  </w:t>
      </w:r>
      <w:r>
        <w:rPr>
          <w:b w:val="false"/>
          <w:bCs w:val="false"/>
          <w:sz w:val="21"/>
          <w:szCs w:val="21"/>
        </w:rPr>
        <w:t xml:space="preserve">Large-artery cardioembolic stroke as the single predominant mechanism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B.  </w:t>
      </w:r>
      <w:r>
        <w:rPr>
          <w:b w:val="false"/>
          <w:bCs w:val="false"/>
          <w:sz w:val="21"/>
          <w:szCs w:val="21"/>
        </w:rPr>
        <w:t xml:space="preserve">Lobar intracerebral hemorrhage caused by underlying cerebral amyloid angiopathy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C.  </w:t>
      </w:r>
      <w:r>
        <w:rPr>
          <w:b/>
          <w:bCs/>
          <w:sz w:val="21"/>
          <w:szCs w:val="21"/>
        </w:rPr>
        <w:t xml:space="preserve">Small-vessel ischemic stroke with a predilection for the posterior circulation</w:t>
      </w:r>
      <w:r>
        <w:rPr>
          <w:b/>
          <w:bCs/>
          <w:color w:val="1B7A3D"/>
          <w:sz w:val="21"/>
          <w:szCs w:val="21"/>
        </w:rPr>
        <w:t xml:space="preserve">   ✓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D.  </w:t>
      </w:r>
      <w:r>
        <w:rPr>
          <w:b w:val="false"/>
          <w:bCs w:val="false"/>
          <w:sz w:val="21"/>
          <w:szCs w:val="21"/>
        </w:rPr>
        <w:t xml:space="preserve">Subarachnoid hemorrhage from the rupture of a berry (saccular) aneurysm in the circle of Willis</w:t>
      </w:r>
    </w:p>
    <w:p>
      <w:pPr>
        <w:spacing w:after="0" w:before="40"/>
        <w:ind w:left="360"/>
      </w:pPr>
      <w:r>
        <w:rPr>
          <w:b/>
          <w:bCs/>
          <w:i/>
          <w:iCs/>
          <w:color w:val="555555"/>
          <w:sz w:val="18"/>
          <w:szCs w:val="18"/>
        </w:rPr>
        <w:t xml:space="preserve">Why kept: </w:t>
      </w:r>
      <w:r>
        <w:rPr>
          <w:i/>
          <w:iCs/>
          <w:color w:val="555555"/>
          <w:sz w:val="18"/>
          <w:szCs w:val="18"/>
        </w:rPr>
        <w:t xml:space="preserve">Major Fabry complication and a reason these patients can present young with stroke.</w:t>
      </w:r>
    </w:p>
    <w:p>
      <w:pPr>
        <w:keepNext/>
        <w:spacing w:after="50" w:before="200"/>
      </w:pPr>
      <w:r>
        <w:rPr>
          <w:b/>
          <w:bCs/>
          <w:color w:val="2E5E8C"/>
          <w:sz w:val="24"/>
          <w:szCs w:val="24"/>
        </w:rPr>
        <w:t xml:space="preserve">Q26</w:t>
      </w:r>
      <w:r>
        <w:rPr>
          <w:color w:val="666666"/>
          <w:sz w:val="18"/>
          <w:szCs w:val="18"/>
        </w:rPr>
        <w:t xml:space="preserve">   ·   Autonomic   ·   Pilot: no pilot data</w:t>
      </w:r>
    </w:p>
    <w:p>
      <w:pPr>
        <w:keepNext/>
        <w:spacing w:after="60"/>
      </w:pPr>
      <w:r>
        <w:rPr>
          <w:sz w:val="21"/>
          <w:szCs w:val="21"/>
        </w:rPr>
        <w:t xml:space="preserve">A young man with Fabry disease reports that he cannot tolerate hot weather or exercise and rarely sweats. The most likely explanation is: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A.  </w:t>
      </w:r>
      <w:r>
        <w:rPr>
          <w:b w:val="false"/>
          <w:bCs w:val="false"/>
          <w:sz w:val="21"/>
          <w:szCs w:val="21"/>
        </w:rPr>
        <w:t xml:space="preserve">An anticholinergic adverse effect of one of his current medications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B.  </w:t>
      </w:r>
      <w:r>
        <w:rPr>
          <w:b w:val="false"/>
          <w:bCs w:val="false"/>
          <w:sz w:val="21"/>
          <w:szCs w:val="21"/>
        </w:rPr>
        <w:t xml:space="preserve">Primary hypothalamic thermoregulatory dysfunction of central origin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C.  </w:t>
      </w:r>
      <w:r>
        <w:rPr>
          <w:b w:val="false"/>
          <w:bCs w:val="false"/>
          <w:sz w:val="21"/>
          <w:szCs w:val="21"/>
        </w:rPr>
        <w:t xml:space="preserve">Physical deconditioning and reduced cardiac output from his cardiomyopathy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D.  </w:t>
      </w:r>
      <w:r>
        <w:rPr>
          <w:b/>
          <w:bCs/>
          <w:sz w:val="21"/>
          <w:szCs w:val="21"/>
        </w:rPr>
        <w:t xml:space="preserve">Fabry-related small-fiber and autonomic dysfunction that impairs sweating</w:t>
      </w:r>
      <w:r>
        <w:rPr>
          <w:b/>
          <w:bCs/>
          <w:color w:val="1B7A3D"/>
          <w:sz w:val="21"/>
          <w:szCs w:val="21"/>
        </w:rPr>
        <w:t xml:space="preserve">   ✓</w:t>
      </w:r>
    </w:p>
    <w:p>
      <w:pPr>
        <w:spacing w:after="0" w:before="40"/>
        <w:ind w:left="360"/>
      </w:pPr>
      <w:r>
        <w:rPr>
          <w:b/>
          <w:bCs/>
          <w:i/>
          <w:iCs/>
          <w:color w:val="555555"/>
          <w:sz w:val="18"/>
          <w:szCs w:val="18"/>
        </w:rPr>
        <w:t xml:space="preserve">Why kept: </w:t>
      </w:r>
      <w:r>
        <w:rPr>
          <w:i/>
          <w:iCs/>
          <w:color w:val="555555"/>
          <w:sz w:val="18"/>
          <w:szCs w:val="18"/>
        </w:rPr>
        <w:t xml:space="preserve">A common patient-reported complaint that, recognized, points toward Fabry.</w:t>
      </w:r>
    </w:p>
    <w:p>
      <w:pPr>
        <w:keepNext/>
        <w:spacing w:after="50" w:before="200"/>
      </w:pPr>
      <w:r>
        <w:rPr>
          <w:b/>
          <w:bCs/>
          <w:color w:val="2E5E8C"/>
          <w:sz w:val="24"/>
          <w:szCs w:val="24"/>
        </w:rPr>
        <w:t xml:space="preserve">Q27</w:t>
      </w:r>
      <w:r>
        <w:rPr>
          <w:color w:val="666666"/>
          <w:sz w:val="18"/>
          <w:szCs w:val="18"/>
        </w:rPr>
        <w:t xml:space="preserve">   ·   Management   ·   Pilot: no pilot data</w:t>
      </w:r>
    </w:p>
    <w:p>
      <w:pPr>
        <w:keepNext/>
        <w:spacing w:after="60"/>
      </w:pPr>
      <w:r>
        <w:rPr>
          <w:sz w:val="21"/>
          <w:szCs w:val="21"/>
        </w:rPr>
        <w:t xml:space="preserve">A patient with Fabry disease reaches end-stage kidney disease and receives a kidney transplant. Which statement is most accurate?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A.  </w:t>
      </w:r>
      <w:r>
        <w:rPr>
          <w:b/>
          <w:bCs/>
          <w:sz w:val="21"/>
          <w:szCs w:val="21"/>
        </w:rPr>
        <w:t xml:space="preserve">The graft is largely spared, but cardiac and cerebrovascular disease keep progressing</w:t>
      </w:r>
      <w:r>
        <w:rPr>
          <w:b/>
          <w:bCs/>
          <w:color w:val="1B7A3D"/>
          <w:sz w:val="21"/>
          <w:szCs w:val="21"/>
        </w:rPr>
        <w:t xml:space="preserve">   ✓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B.  </w:t>
      </w:r>
      <w:r>
        <w:rPr>
          <w:b w:val="false"/>
          <w:bCs w:val="false"/>
          <w:sz w:val="21"/>
          <w:szCs w:val="21"/>
        </w:rPr>
        <w:t xml:space="preserve">The graft re-accumulates glycosphingolipid and predictably fails within the first year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C.  </w:t>
      </w:r>
      <w:r>
        <w:rPr>
          <w:b w:val="false"/>
          <w:bCs w:val="false"/>
          <w:sz w:val="21"/>
          <w:szCs w:val="21"/>
        </w:rPr>
        <w:t xml:space="preserve">Transplantation corrects the enzyme deficiency systemically and halts disease elsewhere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D.  </w:t>
      </w:r>
      <w:r>
        <w:rPr>
          <w:b w:val="false"/>
          <w:bCs w:val="false"/>
          <w:sz w:val="21"/>
          <w:szCs w:val="21"/>
        </w:rPr>
        <w:t xml:space="preserve">A living related-donor graft is strongly preferred because relatives resist recurrence</w:t>
      </w:r>
    </w:p>
    <w:p>
      <w:pPr>
        <w:spacing w:after="0" w:before="40"/>
        <w:ind w:left="360"/>
      </w:pPr>
      <w:r>
        <w:rPr>
          <w:b/>
          <w:bCs/>
          <w:i/>
          <w:iCs/>
          <w:color w:val="555555"/>
          <w:sz w:val="18"/>
          <w:szCs w:val="18"/>
        </w:rPr>
        <w:t xml:space="preserve">Why kept: </w:t>
      </w:r>
      <w:r>
        <w:rPr>
          <w:i/>
          <w:iCs/>
          <w:color w:val="555555"/>
          <w:sz w:val="18"/>
          <w:szCs w:val="18"/>
        </w:rPr>
        <w:t xml:space="preserve">End-stage care knowledge; corrects the "transplant cures it" misconception.</w:t>
      </w:r>
    </w:p>
    <w:p>
      <w:pPr>
        <w:pBdr>
          <w:top w:val="single" w:color="CCCCCC" w:sz="6" w:space="4"/>
        </w:pBdr>
        <w:spacing w:after="60" w:before="220"/>
      </w:pPr>
      <w:r>
        <w:t xml:space="preserve"/>
      </w:r>
    </w:p>
    <w:p>
      <w:pPr>
        <w:spacing w:after="50"/>
      </w:pPr>
      <w:r>
        <w:rPr>
          <w:b/>
          <w:bCs/>
          <w:color w:val="555555"/>
          <w:sz w:val="18"/>
          <w:szCs w:val="18"/>
        </w:rPr>
        <w:t xml:space="preserve">Plus Q13 — comfort rating (not scored): </w:t>
      </w:r>
      <w:r>
        <w:rPr>
          <w:color w:val="555555"/>
          <w:sz w:val="18"/>
          <w:szCs w:val="18"/>
        </w:rPr>
        <w:t xml:space="preserve">"How comfortable would you be taking care of a patient with Fabry disease?" 0–10 scale, asked identically at intake (pre) and after the quiz (post) for a paired measure.</w:t>
      </w:r>
    </w:p>
    <w:p>
      <w:r>
        <w:rPr>
          <w:i/>
          <w:iCs/>
          <w:color w:val="888888"/>
          <w:sz w:val="16"/>
          <w:szCs w:val="16"/>
        </w:rPr>
        <w:t xml:space="preserve">Pilot results: n = 6 residents (mixed arms) on the seven questions that existed during the pilot round, scored against the current key — mean 4.5/7 (64%), SD ≈ 1.8. These pilots saw the earlier, easier distractor wording, so live scores will likely run lower. Q23–Q27 were added after the pilot round and have no cohort data. Full per-participant data: docs/pilot-data-snapshot-2026-05-29/.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2026-06-30T15:44:55.747Z</dcterms:created>
  <dcterms:modified xsi:type="dcterms:W3CDTF">2026-06-30T15:44:55.752Z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