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residents who work a clinical case</w:t>
      </w:r>
      <w:r>
        <w:t xml:space="preserve"> </w:t>
      </w:r>
      <w:r>
        <w:rPr>
          <w:i/>
          <w:iCs/>
        </w:rPr>
        <w:t xml:space="preserve">with</w:t>
      </w:r>
      <w:r>
        <w:t xml:space="preserve"> </w:t>
      </w:r>
      <w:r>
        <w:t xml:space="preserve">an AI assistant actually</w:t>
      </w:r>
      <w:r>
        <w:t xml:space="preserve"> </w:t>
      </w:r>
      <w:r>
        <w:rPr>
          <w:i/>
          <w:iCs/>
        </w:rPr>
        <w:t xml:space="preserve">learn</w:t>
      </w:r>
      <w:r>
        <w:t xml:space="preserve"> </w:t>
      </w:r>
      <w:r>
        <w:t xml:space="preserve">from it — that is, retain knowledge they can later deploy unaided — is unknown. Performance with a tool and skill formation are distinct outcomes, and evidence from other domains suggests AI assistance can raise task output while leaving (or even impairing) underlying learning.</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Despite intense interest in generative AI for medical education, the field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learn from</w:t>
      </w:r>
      <w:r>
        <w:t xml:space="preserve"> </w:t>
      </w:r>
      <w:r>
        <w:t xml:space="preserve">working a case with one, measured by what they can do afterward without it. We conducted a randomized trial to address this gap directly. Residents worked an unfamiliar clinical case with either an AI assistant or a standard clinical reference (UpToDate), and we measured the knowledge they retained on an immediately following, resource-free assessment. The design deliberately separates the</w:t>
      </w:r>
      <w:r>
        <w:t xml:space="preserve"> </w:t>
      </w:r>
      <w:r>
        <w:rPr>
          <w:i/>
          <w:iCs/>
        </w:rPr>
        <w:t xml:space="preserve">assisted-performance</w:t>
      </w:r>
      <w:r>
        <w:t xml:space="preserve"> </w:t>
      </w:r>
      <w:r>
        <w:t xml:space="preserve">phase (the case, with the resource) from the</w:t>
      </w:r>
      <w:r>
        <w:t xml:space="preserve"> </w:t>
      </w:r>
      <w:r>
        <w:rPr>
          <w:i/>
          <w:iCs/>
        </w:rPr>
        <w:t xml:space="preserve">unassisted-learning</w:t>
      </w:r>
      <w:r>
        <w:t xml:space="preserve"> </w:t>
      </w:r>
      <w:r>
        <w:t xml:space="preserve">phase (the assessment, without it), isolating skill formation as the endpoint. We chose Fabry disease — a rare, multisystem condition unlikely to be within residents’ existing knowledge — so that the assessment would capture knowledge newly acquired during the session rather than prior expertise.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chat assistant powered by a frontier LLM (Anthropic Claude [model/version]), available in a side panel, with a one-click option to insert the case context into the conversation. No separate login was required. All messages were logged.</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Our exploratory interaction-pattern analyses [support/do not support] the hypothesis that cognitively engaged use preserves learning, which would make</w:t>
      </w:r>
      <w:r>
        <w:t xml:space="preserve"> </w:t>
      </w:r>
      <w:r>
        <w:rPr>
          <w:i/>
          <w:iCs/>
        </w:rPr>
        <w:t xml:space="preserve">how to prompt and verify</w:t>
      </w:r>
      <w:r>
        <w:t xml:space="preserve"> </w:t>
      </w:r>
      <w:r>
        <w:t xml:space="preserve">a teachable skill in its own right.</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As generative AI becomes ubiquitous in clinical training, randomized evidence on</w:t>
      </w:r>
      <w:r>
        <w:t xml:space="preserve"> </w:t>
      </w:r>
      <w:r>
        <w:rPr>
          <w:i/>
          <w:iCs/>
        </w:rPr>
        <w:t xml:space="preserve">learning</w:t>
      </w:r>
      <w:r>
        <w:t xml:space="preserve"> </w:t>
      </w:r>
      <w:r>
        <w:t xml:space="preserve">— not only on assisted performance — should inform how these tools are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2026-06-30T16:12:48Z</dcterms:created>
  <dcterms:modified xsi:type="dcterms:W3CDTF">2026-06-30T16:12:48Z</dcterms:modified>
</cp:coreProperties>
</file>

<file path=docProps/custom.xml><?xml version="1.0" encoding="utf-8"?>
<Properties xmlns="http://schemas.openxmlformats.org/officeDocument/2006/custom-properties" xmlns:vt="http://schemas.openxmlformats.org/officeDocument/2006/docPropsVTypes"/>
</file>