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PAT003 — Lan Nguyen</w:t>
      </w:r>
    </w:p>
    <w:p>
      <w:pPr>
        <w:jc w:val="center"/>
      </w:pPr>
      <w:r>
        <w:rPr>
          <w:i/>
          <w:sz w:val="26"/>
        </w:rPr>
        <w:t>Assessment Walkthrough — Novice vs Educated AI User</w:t>
      </w:r>
    </w:p>
    <w:p>
      <w:pPr>
        <w:pStyle w:val="Heading1"/>
      </w:pPr>
      <w:r>
        <w:t>The case in one paragraph</w:t>
      </w:r>
    </w:p>
    <w:p>
      <w:r>
        <w:t>Lan Thi Nguyen, 72, Vietnamese-speaking, is being discharged on hospital day 57 after a brutal admission for severe gallstone pancreatitis (ERCP, septic shock, ARDS + 10 days ventilated, a new DVT now on apixaban, severe deconditioning). During the HD3 sepsis workup, a chest X-ray incidentally caught a 2.5 cm right upper lobe lung nodule, confirmed on a dedicated CT (HD~29) flagged by the radiologist for biopsy or 3-month repeat. The nodule was mentioned through HD8, then dropped off every progress note for 49 days and is missing from the discharge summary. The resident catches it on a final imaging review at discharge. The case is not about diagnosing the nodule; it is about safely operationalizing the workup in a socially complex patient.</w:t>
      </w:r>
    </w:p>
    <w:p>
      <w:pPr>
        <w:pStyle w:val="Heading2"/>
      </w:pPr>
      <w:r>
        <w:t>Caveat</w:t>
      </w:r>
    </w:p>
    <w:p>
      <w:r>
        <w:t>High-fidelity paper simulation — the live Haiku chatbot was not driven (its API key is encrypted under the site access password). Scored against the real ap1.json rubric.</w:t>
      </w:r>
    </w:p>
    <w:p>
      <w:pPr>
        <w:pStyle w:val="Heading1"/>
      </w:pPr>
      <w:r>
        <w:t>The two personas</w:t>
      </w:r>
    </w:p>
    <w:p>
      <w:r>
        <w:rPr>
          <w:b/>
        </w:rPr>
        <w:t xml:space="preserve">Novice (AI-naïve): </w:t>
      </w:r>
      <w:r>
        <w:t>pastes the question verbatim, toggles all context on, takes the first answer, never opens the imaging tab, never asks a follow-up, copies the AI output nearly verbatim.</w:t>
      </w:r>
    </w:p>
    <w:p>
      <w:r>
        <w:rPr>
          <w:b/>
        </w:rPr>
        <w:t xml:space="preserve">Educated (AI-literate): </w:t>
      </w:r>
      <w:r>
        <w:t>curates which context to include, asks targeted sub-questions, cross-checks the AI against the primary chart (opens the actual CT report), iterates, synthesizes in their own words.</w:t>
      </w:r>
    </w:p>
    <w:p>
      <w:pPr>
        <w:pStyle w:val="Heading1"/>
      </w:pPr>
      <w:r>
        <w:t>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Educated</w:t>
            </w:r>
          </w:p>
        </w:tc>
      </w:tr>
      <w:tr>
        <w:tc>
          <w:tcPr>
            <w:tcW w:type="dxa" w:w="2160"/>
          </w:tcPr>
          <w:p>
            <w:r>
              <w:t>Q1 Differential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0.50 (83%)</w:t>
            </w:r>
          </w:p>
        </w:tc>
        <w:tc>
          <w:tcPr>
            <w:tcW w:type="dxa" w:w="2160"/>
          </w:tcPr>
          <w:p>
            <w:r>
              <w:t>0.60 (100%)</w:t>
            </w:r>
          </w:p>
        </w:tc>
      </w:tr>
      <w:tr>
        <w:tc>
          <w:tcPr>
            <w:tcW w:type="dxa" w:w="2160"/>
          </w:tcPr>
          <w:p>
            <w:r>
              <w:t>Q2 Additional info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0.50 (56%)</w:t>
            </w:r>
          </w:p>
        </w:tc>
        <w:tc>
          <w:tcPr>
            <w:tcW w:type="dxa" w:w="2160"/>
          </w:tcPr>
          <w:p>
            <w:r>
              <w:t>0.80 (89%)</w:t>
            </w:r>
          </w:p>
        </w:tc>
      </w:tr>
      <w:tr>
        <w:tc>
          <w:tcPr>
            <w:tcW w:type="dxa" w:w="2160"/>
          </w:tcPr>
          <w:p>
            <w:r>
              <w:t>Q3 Keep vs discharge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0.60 (55%)</w:t>
            </w:r>
          </w:p>
        </w:tc>
        <w:tc>
          <w:tcPr>
            <w:tcW w:type="dxa" w:w="2160"/>
          </w:tcPr>
          <w:p>
            <w:r>
              <w:t>1.00 (91%)</w:t>
            </w:r>
          </w:p>
        </w:tc>
      </w:tr>
      <w:tr>
        <w:tc>
          <w:tcPr>
            <w:tcW w:type="dxa" w:w="2160"/>
          </w:tcPr>
          <w:p>
            <w:r>
              <w:t>Q4 Outpatient process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0.40 (57%)</w:t>
            </w:r>
          </w:p>
        </w:tc>
        <w:tc>
          <w:tcPr>
            <w:tcW w:type="dxa" w:w="2160"/>
          </w:tcPr>
          <w:p>
            <w:r>
              <w:t>0.70 (100%)</w:t>
            </w:r>
          </w:p>
        </w:tc>
      </w:tr>
      <w:tr>
        <w:tc>
          <w:tcPr>
            <w:tcW w:type="dxa" w:w="2160"/>
          </w:tcPr>
          <w:p>
            <w:r>
              <w:t>Q5 Inpatient endpoint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0.20 (67%)</w:t>
            </w:r>
          </w:p>
        </w:tc>
        <w:tc>
          <w:tcPr>
            <w:tcW w:type="dxa" w:w="2160"/>
          </w:tcPr>
          <w:p>
            <w:r>
              <w:t>0.30 (100%)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3.6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2.20 (61%)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3.40 (94%)</w:t>
            </w:r>
          </w:p>
        </w:tc>
      </w:tr>
    </w:tbl>
    <w:p>
      <w:r>
        <w:rPr>
          <w:b/>
        </w:rPr>
        <w:t xml:space="preserve">Pass = 70%. </w:t>
      </w:r>
      <w:r>
        <w:t>Novice fails at 61%; educated passes at 94% — a ~33-point gap. The assessment separates "knows medicine + dumps it into AI" from "knows medicine + drives AI well."</w:t>
      </w:r>
    </w:p>
    <w:p>
      <w:pPr>
        <w:pStyle w:val="Heading1"/>
      </w:pPr>
      <w:r>
        <w:t>Q1 — Differential for the nodule (weight 0.6)</w:t>
      </w:r>
    </w:p>
    <w:p>
      <w:r>
        <w:rPr>
          <w:i/>
        </w:rPr>
        <w:t>Based on the information you have at this time, what is your differential diagnosis for this incidental lung nodule?</w:t>
      </w:r>
    </w:p>
    <w:p>
      <w:r>
        <w:rPr>
          <w:b/>
        </w:rPr>
        <w:t xml:space="preserve">Rubric-passing answer: </w:t>
      </w:r>
      <w:r>
        <w:t>Names all six categories: primary lung malignancy, metastasis, TB, non-TB infection (bacterial/fungal/endemic mycoses), rheumatologic/autoimmune, benign granuloma/calcified scar. Bonus for risk-stratifying by her specifics.</w:t>
      </w:r>
    </w:p>
    <w:p>
      <w:r>
        <w:rPr>
          <w:b/>
        </w:rPr>
        <w:t xml:space="preserve">Novice: </w:t>
      </w:r>
      <w:r>
        <w:t xml:space="preserve">Pastes the bare question; chatbot returns a solid but generic list. Hits ~5/6 (drops the rheumatologic category), no weighting. </w:t>
      </w:r>
      <w:r>
        <w:rPr>
          <w:b/>
        </w:rPr>
        <w:t>~0.50 / 0.60 (83%)</w:t>
      </w:r>
    </w:p>
    <w:p>
      <w:r>
        <w:rPr>
          <w:b/>
        </w:rPr>
        <w:t xml:space="preserve">Educated: </w:t>
      </w:r>
      <w:r>
        <w:t xml:space="preserve">Asks for the differential weighted by pretest probability, feeds in smoking/PPD/family-cancer specifics. 6/6 + bonuses. </w:t>
      </w:r>
      <w:r>
        <w:rPr>
          <w:b/>
        </w:rPr>
        <w:t>~0.60 / 0.60 (100%)</w:t>
      </w:r>
    </w:p>
    <w:p>
      <w:pPr>
        <w:pStyle w:val="Heading1"/>
      </w:pPr>
      <w:r>
        <w:t>Q2 — Additional non-invasive info (weight 0.9)</w:t>
      </w:r>
    </w:p>
    <w:p>
      <w:r>
        <w:rPr>
          <w:i/>
        </w:rPr>
        <w:t>What additional information could you obtain that would help further hone the differential?</w:t>
      </w:r>
    </w:p>
    <w:p>
      <w:r>
        <w:rPr>
          <w:b/>
        </w:rPr>
        <w:t xml:space="preserve">Rubric-passing answer: </w:t>
      </w:r>
      <w:r>
        <w:t>Smoking pack-years, occupational/environmental exposure, personal &amp; family cancer history, prior lung infections, prior TB testing/BCG, nodule imaging features (≥2 of spiculation/density/upper-lobe), one of (autoimmune hx OR geography), one of (hemoptysis OR lymphadenopathy).</w:t>
      </w:r>
    </w:p>
    <w:p>
      <w:r>
        <w:rPr>
          <w:b/>
        </w:rPr>
        <w:t xml:space="preserve">Novice: </w:t>
      </w:r>
      <w:r>
        <w:t xml:space="preserve">Open question yields smoking/exposures/cancer/infections/TB, but never opened the imaging tab so the nodule features and the one-of pairs are missed. ~5/9. </w:t>
      </w:r>
      <w:r>
        <w:rPr>
          <w:b/>
        </w:rPr>
        <w:t>~0.50 / 0.90 (56%)</w:t>
      </w:r>
    </w:p>
    <w:p>
      <w:r>
        <w:rPr>
          <w:b/>
        </w:rPr>
        <w:t xml:space="preserve">Educated: </w:t>
      </w:r>
      <w:r>
        <w:t xml:space="preserve">Asks what imaging features + history change pretest probability, opens IMG004 and cites spiculation/solid/upper-lobe/40-HU, works through BCG-vs-PPD (IGRA). 8/9 + bonuses. </w:t>
      </w:r>
      <w:r>
        <w:rPr>
          <w:b/>
        </w:rPr>
        <w:t>~0.80 / 0.90 (89%)</w:t>
      </w:r>
    </w:p>
    <w:p>
      <w:pPr>
        <w:pStyle w:val="Heading1"/>
      </w:pPr>
      <w:r>
        <w:t>Q3 — Keep inpatient vs defer to outpatient (weight 1.1) — the discriminator</w:t>
      </w:r>
    </w:p>
    <w:p>
      <w:r>
        <w:rPr>
          <w:i/>
        </w:rPr>
        <w:t>What factors would influence your decision about keeping her in the hospital vs deferring to the outpatient setting?</w:t>
      </w:r>
    </w:p>
    <w:p>
      <w:r>
        <w:rPr>
          <w:b/>
        </w:rPr>
        <w:t xml:space="preserve">Rubric-passing answer: </w:t>
      </w:r>
      <w:r>
        <w:t>Patient understanding of condition + of follow-up importance; ability to navigate the system (language, insurance, transport); family support; health-system tracking reliability; risk + cost of more inpatient days; anticoagulation conflict around biopsy; whether a biopsy plan is in place; risk tolerance; rehab-communication logistics.</w:t>
      </w:r>
    </w:p>
    <w:p>
      <w:r>
        <w:rPr>
          <w:b/>
        </w:rPr>
        <w:t xml:space="preserve">Novice: </w:t>
      </w:r>
      <w:r>
        <w:t xml:space="preserve">Generic question yields a generic list (patient understanding, family support, cost, biopsy plan, anticoagulation). Misses the Vietnamese-language barrier, health-system tracking, risk tolerance, rehab logistics. ~6/11. </w:t>
      </w:r>
      <w:r>
        <w:rPr>
          <w:b/>
        </w:rPr>
        <w:t>~0.60 / 1.10 (55%)</w:t>
      </w:r>
    </w:p>
    <w:p>
      <w:r>
        <w:rPr>
          <w:b/>
        </w:rPr>
        <w:t xml:space="preserve">Educated: </w:t>
      </w:r>
      <w:r>
        <w:t xml:space="preserve">Prompts with her actual situation (Vietnamese-speaking, dual-eligible, fragmented care, new apixaban) and asks about loss-to-follow-up risk given her history (declined LDCT on cost, missed appointments). 10/11 + bonuses. </w:t>
      </w:r>
      <w:r>
        <w:rPr>
          <w:b/>
        </w:rPr>
        <w:t>~1.00 / 1.10 (91%)</w:t>
      </w:r>
    </w:p>
    <w:p>
      <w:pPr>
        <w:pStyle w:val="Heading1"/>
      </w:pPr>
      <w:r>
        <w:t>Q4 — Outpatient process (weight 0.7)</w:t>
      </w:r>
    </w:p>
    <w:p>
      <w:r>
        <w:rPr>
          <w:i/>
        </w:rPr>
        <w:t>If you were to defer the workup to the outpatient setting, what would be your process?</w:t>
      </w:r>
    </w:p>
    <w:p>
      <w:r>
        <w:rPr>
          <w:b/>
        </w:rPr>
        <w:t xml:space="preserve">Rubric-passing answer: </w:t>
      </w:r>
      <w:r>
        <w:t>Ensure understanding via Vietnamese interpretation; emphasize follow-up given malignancy concern; book the biopsy/nodule-clinic referral BEFORE discharge; assess family needs; communicate to the outpatient team; clear guidance in the right language; anticoagulation plan around the biopsy.</w:t>
      </w:r>
    </w:p>
    <w:p>
      <w:r>
        <w:rPr>
          <w:b/>
        </w:rPr>
        <w:t xml:space="preserve">Novice: </w:t>
      </w:r>
      <w:r>
        <w:t xml:space="preserve">"Educate, follow up with PCP, communicate the plan." Vague — misses pre-discharge booking, Vietnamese-specific teaching, anticoagulation bridge, closed-loop tracking. ~4/7. </w:t>
      </w:r>
      <w:r>
        <w:rPr>
          <w:b/>
        </w:rPr>
        <w:t>~0.40 / 0.70 (57%)</w:t>
      </w:r>
    </w:p>
    <w:p>
      <w:r>
        <w:rPr>
          <w:b/>
        </w:rPr>
        <w:t xml:space="preserve">Educated: </w:t>
      </w:r>
      <w:r>
        <w:t xml:space="preserve">Forces a concrete checklist: biopsy booked before discharge, interpreter + teach-back, apixaban hold/resume, who updates the problem list, closed-loop result pathway. 7/7 + bonuses. </w:t>
      </w:r>
      <w:r>
        <w:rPr>
          <w:b/>
        </w:rPr>
        <w:t>~0.70 / 0.70 (100%)</w:t>
      </w:r>
    </w:p>
    <w:p>
      <w:pPr>
        <w:pStyle w:val="Heading1"/>
      </w:pPr>
      <w:r>
        <w:t>Q5 — Inpatient discharge endpoint (weight 0.3)</w:t>
      </w:r>
    </w:p>
    <w:p>
      <w:r>
        <w:rPr>
          <w:i/>
        </w:rPr>
        <w:t>If you were to keep her in the hospital for additional investigations, at what point would you discharge her?</w:t>
      </w:r>
    </w:p>
    <w:p>
      <w:r>
        <w:rPr>
          <w:b/>
        </w:rPr>
        <w:t xml:space="preserve">Rubric-passing answer: </w:t>
      </w:r>
      <w:r>
        <w:t>After the biopsy is done; after oral anticoagulation is safely resumed; after the outpatient care plan is clearly delineated. Bonus: a pending result alone is not a reason to stay.</w:t>
      </w:r>
    </w:p>
    <w:p>
      <w:r>
        <w:rPr>
          <w:b/>
        </w:rPr>
        <w:t xml:space="preserve">Novice: </w:t>
      </w:r>
      <w:r>
        <w:t xml:space="preserve">"After the biopsy and once a plan is in place." Misses re-establishing anticoagulation as a gate. ~2/3. </w:t>
      </w:r>
      <w:r>
        <w:rPr>
          <w:b/>
        </w:rPr>
        <w:t>~0.20 / 0.30 (67%)</w:t>
      </w:r>
    </w:p>
    <w:p>
      <w:r>
        <w:rPr>
          <w:b/>
        </w:rPr>
        <w:t xml:space="preserve">Educated: </w:t>
      </w:r>
      <w:r>
        <w:t xml:space="preserve">Biopsy done + apixaban resumed + outpatient loop closed, and a pending result is not a reason to keep her. 3/3. </w:t>
      </w:r>
      <w:r>
        <w:rPr>
          <w:b/>
        </w:rPr>
        <w:t>~0.30 / 0.30 (100%)</w:t>
      </w:r>
    </w:p>
    <w:p>
      <w:pPr>
        <w:pStyle w:val="Heading1"/>
      </w:pPr>
      <w:r>
        <w:t>Where the gap actually opens</w:t>
      </w:r>
    </w:p>
    <w:p>
      <w:pPr>
        <w:pStyle w:val="ListBullet"/>
      </w:pPr>
      <w:r>
        <w:t>Two behaviors drive most of it: (1) opening the primary source — the educated resident reads the actual CT report for nodule features instead of trusting the chatbot summary (Q2); (2) prompting with the patient’s specifics — language, insurance, anticoagulation, fragmented-care history — rather than the generic question (Q3, Q4).</w:t>
      </w:r>
    </w:p>
    <w:p>
      <w:pPr>
        <w:pStyle w:val="ListBullet"/>
      </w:pPr>
      <w:r>
        <w:t>Q3 + Q4 together (1.8 of 3.6 weight) are where the case lives. They are social-determinant + operationalization questions; generic prompting produces generic, non-passing answers. This mirrors PAT002.</w:t>
      </w:r>
    </w:p>
    <w:p>
      <w:pPr>
        <w:pStyle w:val="ListBullet"/>
      </w:pPr>
      <w:r>
        <w:t>Q1 barely discriminates — appropriate, because a broad differential is the one thing AI does well unprompted.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