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t xml:space="preserve">Acting Intern — Lazy vs. Advanced AI-Use Test Report</w:t>
      </w:r>
    </w:p>
    <w:p>
      <w:pPr>
        <w:spacing w:after="120"/>
      </w:pPr>
      <w:r>
        <w:rPr>
          <w:i/>
          <w:iCs/>
          <w:color w:val="666666"/>
          <w:sz w:val="18"/>
          <w:szCs w:val="18"/>
        </w:rPr>
        <w:t xml:space="preserve">Date: 2026-05-29   |   Build: actingintern.com (cache 20260522y)   |   All 6 assessment cases</w:t>
      </w:r>
    </w:p>
    <w:p>
      <w:pPr>
        <w:pStyle w:val="Heading2"/>
      </w:pPr>
      <w:r>
        <w:t xml:space="preserve">1. Purpose</w:t>
      </w:r>
    </w:p>
    <w:p>
      <w:pPr>
        <w:spacing w:after="120"/>
      </w:pPr>
      <w:r>
        <w:t xml:space="preserve">Measure whether the assessment discriminates between two ways of using the embedded clinical chatbot, holding clinical content constant:</w:t>
      </w:r>
    </w:p>
    <w:p>
      <w:pPr>
        <w:pStyle w:val="ListParagraph"/>
        <w:numPr>
          <w:ilvl w:val="0"/>
          <w:numId w:val="2"/>
        </w:numPr>
        <w:spacing w:after="60"/>
      </w:pPr>
      <w:r>
        <w:rPr>
          <w:b/>
          <w:bCs/>
        </w:rPr>
        <w:t xml:space="preserve">Lazy user — </w:t>
      </w:r>
      <w:r>
        <w:t xml:space="preserve">loads all available chart context into the chatbot, pastes the question verbatim, and submits the chatbot’s first answer.</w:t>
      </w:r>
    </w:p>
    <w:p>
      <w:pPr>
        <w:pStyle w:val="ListParagraph"/>
        <w:numPr>
          <w:ilvl w:val="0"/>
          <w:numId w:val="2"/>
        </w:numPr>
        <w:spacing w:after="60"/>
      </w:pPr>
      <w:r>
        <w:rPr>
          <w:b/>
          <w:bCs/>
        </w:rPr>
        <w:t xml:space="preserve">Advanced user — </w:t>
      </w:r>
      <w:r>
        <w:t xml:space="preserve">frames a thoughtful prompt, reasons about the specific patient, and synthesizes a considered answer before submitting.</w:t>
      </w:r>
    </w:p>
    <w:p>
      <w:pPr>
        <w:spacing w:after="120"/>
      </w:pPr>
      <w:r>
        <w:t xml:space="preserve">This is the discrimination question underlying the planned RCT: if a training intervention moves residents from lazy to advanced AI use, how much does the graded score actually change?</w:t>
      </w:r>
    </w:p>
    <w:p>
      <w:pPr>
        <w:pStyle w:val="Heading2"/>
      </w:pPr>
      <w:r>
        <w:t xml:space="preserve">2. Method</w:t>
      </w:r>
    </w:p>
    <w:p>
      <w:pPr>
        <w:pStyle w:val="ListParagraph"/>
        <w:numPr>
          <w:ilvl w:val="0"/>
          <w:numId w:val="2"/>
        </w:numPr>
        <w:spacing w:after="60"/>
      </w:pPr>
      <w:r>
        <w:t xml:space="preserve">Both scenarios used the same tool residents use — the Haiku chatbot (claude-haiku-4-5) — so only user behavior differs, mirroring the RCT (tool held constant across arms).</w:t>
      </w:r>
    </w:p>
    <w:p>
      <w:pPr>
        <w:pStyle w:val="ListParagraph"/>
        <w:numPr>
          <w:ilvl w:val="0"/>
          <w:numId w:val="2"/>
        </w:numPr>
        <w:spacing w:after="60"/>
      </w:pPr>
      <w:r>
        <w:t xml:space="preserve">Every answer was graded by the live rubric grader (claude-sonnet-4-6, temperature 0), which is effectively deterministic on these rubrics (measured grading spread = 0).</w:t>
      </w:r>
    </w:p>
    <w:p>
      <w:pPr>
        <w:pStyle w:val="ListParagraph"/>
        <w:numPr>
          <w:ilvl w:val="0"/>
          <w:numId w:val="2"/>
        </w:numPr>
        <w:spacing w:after="60"/>
      </w:pPr>
      <w:r>
        <w:t xml:space="preserve">N = 3 runs per scenario per case. Answer generation used temperature 0.7, so run-to-run spread reflects genuine answer variability, not grader noise.</w:t>
      </w:r>
    </w:p>
    <w:p>
      <w:pPr>
        <w:pStyle w:val="ListParagraph"/>
        <w:numPr>
          <w:ilvl w:val="0"/>
          <w:numId w:val="2"/>
        </w:numPr>
        <w:spacing w:after="60"/>
      </w:pPr>
      <w:r>
        <w:t xml:space="preserve">Passing threshold: 70% overall (weighted across each case’s questions).</w:t>
      </w:r>
    </w:p>
    <w:p>
      <w:pPr>
        <w:pStyle w:val="Heading2"/>
      </w:pPr>
      <w:r>
        <w:t xml:space="preserve">3. Headline results</w:t>
      </w:r>
    </w:p>
    <w:p>
      <w:pPr>
        <w:spacing w:after="120"/>
      </w:pPr>
      <w:r>
        <w:t xml:space="preserve">Overall weighted score per case (mean of 3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240"/>
        <w:gridCol w:w="1500"/>
        <w:gridCol w:w="1060"/>
        <w:gridCol w:w="1800"/>
      </w:tblGrid>
      <w:tr>
        <w:trPr>
          <w:tblHeader/>
        </w:trPr>
        <w:tc>
          <w:tcPr>
            <w:tcW w:type="dxa" w:w="3760"/>
            <w:tcBorders>
              <w:top w:val="single" w:color="CCCCCC" w:sz="1"/>
              <w:left w:val="single" w:color="CCCCCC" w:sz="1"/>
              <w:bottom w:val="single" w:color="CCCCCC" w:sz="1"/>
              <w:right w:val="single" w:color="CCCCCC" w:sz="1"/>
            </w:tcBorders>
            <w:shd w:fill="1e4976" w:val="clear"/>
            <w:tcMar>
              <w:top w:type="dxa" w:w="60"/>
              <w:left w:type="dxa" w:w="100"/>
              <w:bottom w:type="dxa" w:w="60"/>
              <w:right w:type="dxa" w:w="100"/>
            </w:tcMar>
          </w:tcPr>
          <w:p>
            <w:r>
              <w:rPr>
                <w:b/>
                <w:bCs/>
                <w:color w:val="FFFFFF"/>
              </w:rPr>
              <w:t xml:space="preserve">Case (source)</w:t>
            </w:r>
          </w:p>
        </w:tc>
        <w:tc>
          <w:tcPr>
            <w:tcW w:type="dxa" w:w="1240"/>
            <w:tcBorders>
              <w:top w:val="single" w:color="CCCCCC" w:sz="1"/>
              <w:left w:val="single" w:color="CCCCCC" w:sz="1"/>
              <w:bottom w:val="single" w:color="CCCCCC" w:sz="1"/>
              <w:right w:val="single" w:color="CCCCCC" w:sz="1"/>
            </w:tcBorders>
            <w:shd w:fill="1e4976" w:val="clear"/>
            <w:tcMar>
              <w:top w:type="dxa" w:w="60"/>
              <w:left w:type="dxa" w:w="100"/>
              <w:bottom w:type="dxa" w:w="60"/>
              <w:right w:type="dxa" w:w="100"/>
            </w:tcMar>
          </w:tcPr>
          <w:p>
            <w:r>
              <w:rPr>
                <w:b/>
                <w:bCs/>
                <w:color w:val="FFFFFF"/>
              </w:rPr>
              <w:t xml:space="preserve">Lazy %</w:t>
            </w:r>
          </w:p>
        </w:tc>
        <w:tc>
          <w:tcPr>
            <w:tcW w:type="dxa" w:w="1500"/>
            <w:tcBorders>
              <w:top w:val="single" w:color="CCCCCC" w:sz="1"/>
              <w:left w:val="single" w:color="CCCCCC" w:sz="1"/>
              <w:bottom w:val="single" w:color="CCCCCC" w:sz="1"/>
              <w:right w:val="single" w:color="CCCCCC" w:sz="1"/>
            </w:tcBorders>
            <w:shd w:fill="1e4976" w:val="clear"/>
            <w:tcMar>
              <w:top w:type="dxa" w:w="60"/>
              <w:left w:type="dxa" w:w="100"/>
              <w:bottom w:type="dxa" w:w="60"/>
              <w:right w:type="dxa" w:w="100"/>
            </w:tcMar>
          </w:tcPr>
          <w:p>
            <w:r>
              <w:rPr>
                <w:b/>
                <w:bCs/>
                <w:color w:val="FFFFFF"/>
              </w:rPr>
              <w:t xml:space="preserve">Advanced %</w:t>
            </w:r>
          </w:p>
        </w:tc>
        <w:tc>
          <w:tcPr>
            <w:tcW w:type="dxa" w:w="1060"/>
            <w:tcBorders>
              <w:top w:val="single" w:color="CCCCCC" w:sz="1"/>
              <w:left w:val="single" w:color="CCCCCC" w:sz="1"/>
              <w:bottom w:val="single" w:color="CCCCCC" w:sz="1"/>
              <w:right w:val="single" w:color="CCCCCC" w:sz="1"/>
            </w:tcBorders>
            <w:shd w:fill="1e4976" w:val="clear"/>
            <w:tcMar>
              <w:top w:type="dxa" w:w="60"/>
              <w:left w:type="dxa" w:w="100"/>
              <w:bottom w:type="dxa" w:w="60"/>
              <w:right w:type="dxa" w:w="100"/>
            </w:tcMar>
          </w:tcPr>
          <w:p>
            <w:r>
              <w:rPr>
                <w:b/>
                <w:bCs/>
                <w:color w:val="FFFFFF"/>
              </w:rPr>
              <w:t xml:space="preserve">Gap</w:t>
            </w:r>
          </w:p>
        </w:tc>
        <w:tc>
          <w:tcPr>
            <w:tcW w:type="dxa" w:w="1800"/>
            <w:tcBorders>
              <w:top w:val="single" w:color="CCCCCC" w:sz="1"/>
              <w:left w:val="single" w:color="CCCCCC" w:sz="1"/>
              <w:bottom w:val="single" w:color="CCCCCC" w:sz="1"/>
              <w:right w:val="single" w:color="CCCCCC" w:sz="1"/>
            </w:tcBorders>
            <w:shd w:fill="1e4976" w:val="clear"/>
            <w:tcMar>
              <w:top w:type="dxa" w:w="60"/>
              <w:left w:type="dxa" w:w="100"/>
              <w:bottom w:type="dxa" w:w="60"/>
              <w:right w:type="dxa" w:w="100"/>
            </w:tcMar>
          </w:tcPr>
          <w:p>
            <w:r>
              <w:rPr>
                <w:b/>
                <w:bCs/>
                <w:color w:val="FFFFFF"/>
              </w:rPr>
              <w:t xml:space="preserve">Pass L / A</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PAT002 — SLE / kwashiorkor</w:t>
            </w:r>
          </w:p>
          <w:p>
            <w:r>
              <w:rPr>
                <w:color w:val="666666"/>
                <w:sz w:val="16"/>
                <w:szCs w:val="16"/>
              </w:rPr>
              <w:t xml:space="preserve">NEJM Clinical Problem-Solving</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79.4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83.2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PASS / PASS</w:t>
            </w:r>
          </w:p>
        </w:tc>
      </w:tr>
      <w:tr>
        <w:tc>
          <w:tcPr>
            <w:tcW w:type="dxa" w:w="37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r>
              <w:rPr>
                <w:b/>
                <w:bCs/>
              </w:rPr>
              <w:t xml:space="preserve">PAT003 — lung nodule</w:t>
            </w:r>
          </w:p>
          <w:p>
            <w:r>
              <w:rPr>
                <w:color w:val="666666"/>
                <w:sz w:val="16"/>
                <w:szCs w:val="16"/>
              </w:rPr>
              <w:t xml:space="preserve">Mgmt Reasoning Case 1</w:t>
            </w:r>
          </w:p>
        </w:tc>
        <w:tc>
          <w:tcPr>
            <w:tcW w:type="dxa" w:w="124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56.5</w:t>
            </w:r>
          </w:p>
        </w:tc>
        <w:tc>
          <w:tcPr>
            <w:tcW w:type="dxa" w:w="15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69.6</w:t>
            </w:r>
          </w:p>
        </w:tc>
        <w:tc>
          <w:tcPr>
            <w:tcW w:type="dxa" w:w="10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rPr>
                <w:b/>
                <w:bCs/>
              </w:rPr>
              <w:t xml:space="preserve">+13.1</w:t>
            </w:r>
          </w:p>
        </w:tc>
        <w:tc>
          <w:tcPr>
            <w:tcW w:type="dxa" w:w="18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FAIL / FAIL*</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PAT004 — PE + liver mass</w:t>
            </w:r>
          </w:p>
          <w:p>
            <w:r>
              <w:rPr>
                <w:color w:val="666666"/>
                <w:sz w:val="16"/>
                <w:szCs w:val="16"/>
              </w:rPr>
              <w:t xml:space="preserve">Mgmt Reasoning Case 2</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56.4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67.8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rPr>
              <w:t xml:space="preserve">+11.4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FAIL / FAIL</w:t>
            </w:r>
          </w:p>
        </w:tc>
      </w:tr>
      <w:tr>
        <w:tc>
          <w:tcPr>
            <w:tcW w:type="dxa" w:w="37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r>
              <w:rPr>
                <w:b/>
                <w:bCs/>
              </w:rPr>
              <w:t xml:space="preserve">PAT005 — prophylactic FFP</w:t>
            </w:r>
          </w:p>
          <w:p>
            <w:r>
              <w:rPr>
                <w:color w:val="666666"/>
                <w:sz w:val="16"/>
                <w:szCs w:val="16"/>
              </w:rPr>
              <w:t xml:space="preserve">Mgmt Reasoning Case 3</w:t>
            </w:r>
          </w:p>
        </w:tc>
        <w:tc>
          <w:tcPr>
            <w:tcW w:type="dxa" w:w="124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94.9</w:t>
            </w:r>
          </w:p>
        </w:tc>
        <w:tc>
          <w:tcPr>
            <w:tcW w:type="dxa" w:w="15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99.8</w:t>
            </w:r>
          </w:p>
        </w:tc>
        <w:tc>
          <w:tcPr>
            <w:tcW w:type="dxa" w:w="10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rPr>
                <w:b w:val="false"/>
                <w:bCs w:val="false"/>
              </w:rPr>
              <w:t xml:space="preserve">+4.9</w:t>
            </w:r>
          </w:p>
        </w:tc>
        <w:tc>
          <w:tcPr>
            <w:tcW w:type="dxa" w:w="18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PASS / PASS</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PAT006 — post-op AF</w:t>
            </w:r>
          </w:p>
          <w:p>
            <w:r>
              <w:rPr>
                <w:color w:val="666666"/>
                <w:sz w:val="16"/>
                <w:szCs w:val="16"/>
              </w:rPr>
              <w:t xml:space="preserve">Mgmt Reasoning Case 4</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84.1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82.0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PASS / PASS</w:t>
            </w:r>
          </w:p>
        </w:tc>
      </w:tr>
      <w:tr>
        <w:tc>
          <w:tcPr>
            <w:tcW w:type="dxa" w:w="37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r>
              <w:rPr>
                <w:b/>
                <w:bCs/>
              </w:rPr>
              <w:t xml:space="preserve">PAT007 — drug fever</w:t>
            </w:r>
          </w:p>
          <w:p>
            <w:r>
              <w:rPr>
                <w:color w:val="666666"/>
                <w:sz w:val="16"/>
                <w:szCs w:val="16"/>
              </w:rPr>
              <w:t xml:space="preserve">Mgmt Reasoning Case 5</w:t>
            </w:r>
          </w:p>
        </w:tc>
        <w:tc>
          <w:tcPr>
            <w:tcW w:type="dxa" w:w="124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82.0</w:t>
            </w:r>
          </w:p>
        </w:tc>
        <w:tc>
          <w:tcPr>
            <w:tcW w:type="dxa" w:w="15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91.2</w:t>
            </w:r>
          </w:p>
        </w:tc>
        <w:tc>
          <w:tcPr>
            <w:tcW w:type="dxa" w:w="106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rPr>
                <w:b w:val="false"/>
                <w:bCs w:val="false"/>
              </w:rPr>
              <w:t xml:space="preserve">+9.2</w:t>
            </w:r>
          </w:p>
        </w:tc>
        <w:tc>
          <w:tcPr>
            <w:tcW w:type="dxa" w:w="1800"/>
            <w:tcBorders>
              <w:top w:val="single" w:color="CCCCCC" w:sz="1"/>
              <w:left w:val="single" w:color="CCCCCC" w:sz="1"/>
              <w:bottom w:val="single" w:color="CCCCCC" w:sz="1"/>
              <w:right w:val="single" w:color="CCCCCC" w:sz="1"/>
            </w:tcBorders>
            <w:shd w:fill="F2F5F8" w:val="clear"/>
            <w:tcMar>
              <w:top w:type="dxa" w:w="60"/>
              <w:left w:type="dxa" w:w="100"/>
              <w:bottom w:type="dxa" w:w="60"/>
              <w:right w:type="dxa" w:w="100"/>
            </w:tcMar>
          </w:tcPr>
          <w:p>
            <w:pPr>
              <w:jc w:val="center"/>
            </w:pPr>
            <w:r>
              <w:t xml:space="preserve">PASS / PASS</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AVERAGE</w:t>
            </w:r>
          </w:p>
          <w:p>
            <w:r>
              <w:rPr>
                <w:color w:val="666666"/>
                <w:sz w:val="16"/>
                <w:szCs w:val="16"/>
              </w:rPr>
              <w:t xml:space="preserve">across 6 cases</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75.6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82.3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+6.7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t xml:space="preserve">4/6 / 4/6</w:t>
            </w:r>
          </w:p>
        </w:tc>
      </w:tr>
    </w:tbl>
    <w:p>
      <w:pPr>
        <w:spacing w:after="120"/>
      </w:pPr>
      <w:r>
        <w:rPr>
          <w:i/>
          <w:iCs/>
          <w:color w:val="666666"/>
          <w:sz w:val="18"/>
          <w:szCs w:val="18"/>
        </w:rPr>
        <w:t xml:space="preserve">* PAT003 advanced mean 69.6 sits just below the 70% pass line.</w:t>
      </w:r>
    </w:p>
    <w:p>
      <w:pPr>
        <w:pStyle w:val="Heading2"/>
      </w:pPr>
      <w:r>
        <w:t xml:space="preserve">4. Key findings</w:t>
      </w:r>
    </w:p>
    <w:p>
      <w:pPr>
        <w:pStyle w:val="ListParagraph"/>
        <w:numPr>
          <w:ilvl w:val="0"/>
          <w:numId w:val="3"/>
        </w:numPr>
        <w:spacing w:after="60"/>
      </w:pPr>
      <w:r>
        <w:rPr>
          <w:b/>
          <w:bCs/>
        </w:rPr>
        <w:t xml:space="preserve">The advanced edge is real but modest — about +6.7 points on average. </w:t>
      </w:r>
      <w:r>
        <w:t xml:space="preserve">Advanced beat lazy in 5 of 6 cases (PAT006 was a wash). This is far smaller than the ~30-point gaps the earlier hand-written walkthroughs assumed; the real, measured effect of skilled AI use is single digits to low teens.</w:t>
      </w:r>
    </w:p>
    <w:p>
      <w:pPr>
        <w:pStyle w:val="ListParagraph"/>
        <w:numPr>
          <w:ilvl w:val="0"/>
          <w:numId w:val="3"/>
        </w:numPr>
        <w:spacing w:after="60"/>
      </w:pPr>
      <w:r>
        <w:rPr>
          <w:b/>
          <w:bCs/>
        </w:rPr>
        <w:t xml:space="preserve">Strong ceiling effect — a capable chatbot carries the lazy user. </w:t>
      </w:r>
      <w:r>
        <w:t xml:space="preserve">On PAT002/005/006/007 the lazy approach already passes (79–95%). PAT005 is the extreme — lazy scores 95% — because the model already knows the teaching point (don’t give prophylactic FFP for an elevated INR in cirrhosis), so the “resist the bad practice” design never trips it. When the AI knows the answer, lazy ≈ advanced and training has little room to move the score.</w:t>
      </w:r>
    </w:p>
    <w:p>
      <w:pPr>
        <w:pStyle w:val="ListParagraph"/>
        <w:numPr>
          <w:ilvl w:val="0"/>
          <w:numId w:val="3"/>
        </w:numPr>
        <w:spacing w:after="60"/>
      </w:pPr>
      <w:r>
        <w:rPr>
          <w:b/>
          <w:bCs/>
        </w:rPr>
        <w:t xml:space="preserve">The discriminating cases are the hard ones, not the “anti-anchoring” ones. </w:t>
      </w:r>
      <w:r>
        <w:t xml:space="preserve">The only cases where the lazy user fails — and where the gap is largest — are PAT003 (+13) and PAT004 (+11): cases requiring reading a primary source the AI summary glosses over, or where the question is hard enough that the AI alone fumbles. These are where user skill changes the outcome.</w:t>
      </w:r>
    </w:p>
    <w:p>
      <w:pPr>
        <w:pStyle w:val="ListParagraph"/>
        <w:numPr>
          <w:ilvl w:val="0"/>
          <w:numId w:val="3"/>
        </w:numPr>
        <w:spacing w:after="60"/>
      </w:pPr>
      <w:r>
        <w:rPr>
          <w:b/>
          <w:bCs/>
        </w:rPr>
        <w:t xml:space="preserve">PAT004 appears mis-calibrated or genuinely too hard. </w:t>
      </w:r>
      <w:r>
        <w:t xml:space="preserve">Even advanced tops out at ~68% (a fail), and both scenarios score very low on Q1 (anticoagulation duration before biopsy: lazy ~0.13 / adv ~0.30) and Q3 (DOAC hold: lazy ~0.36 / adv ~0.22). When a strong AI-assisted answer cannot clear ~0.3, the rubric’s essentials are likely stricter than a correct answer. Audit recommended.</w:t>
      </w:r>
    </w:p>
    <w:p>
      <w:pPr>
        <w:pStyle w:val="ListParagraph"/>
        <w:numPr>
          <w:ilvl w:val="0"/>
          <w:numId w:val="3"/>
        </w:numPr>
        <w:spacing w:after="60"/>
      </w:pPr>
      <w:r>
        <w:rPr>
          <w:b/>
          <w:bCs/>
        </w:rPr>
        <w:t xml:space="preserve">At the pass/fail level, lazy and advanced are nearly identical. </w:t>
      </w:r>
      <w:r>
        <w:t xml:space="preserve">Both pass 4 of 6 and fail the same two. The signal lives in the continuous score, not the binary — analyze the RCT on the continuous endpoint.</w:t>
      </w:r>
    </w:p>
    <w:p>
      <w:pPr>
        <w:pStyle w:val="Heading2"/>
      </w:pPr>
      <w:r>
        <w:t xml:space="preserve">5. Implications for the RCT</w:t>
      </w:r>
    </w:p>
    <w:p>
      <w:pPr>
        <w:pStyle w:val="ListParagraph"/>
        <w:numPr>
          <w:ilvl w:val="0"/>
          <w:numId w:val="2"/>
        </w:numPr>
        <w:spacing w:after="60"/>
      </w:pPr>
      <w:r>
        <w:t xml:space="preserve">Effect size: plan around a ~5–10 point intervention effect, not 30. Within-person run-to-run SD is also ~5–10 points. A formal power calculation will likely require a larger sample than a large-effect assumption.</w:t>
      </w:r>
    </w:p>
    <w:p>
      <w:pPr>
        <w:pStyle w:val="ListParagraph"/>
        <w:numPr>
          <w:ilvl w:val="0"/>
          <w:numId w:val="2"/>
        </w:numPr>
        <w:spacing w:after="60"/>
      </w:pPr>
      <w:r>
        <w:t xml:space="preserve">Case selection drives power: the discriminating cases are PAT003, PAT004, PAT007; the ceiling cases (PAT005, PAT006, largely PAT002) add variance without signal. Consider fielding the discriminating subset or a pre-specified “AI-sensitive” subscore.</w:t>
      </w:r>
    </w:p>
    <w:p>
      <w:pPr>
        <w:pStyle w:val="ListParagraph"/>
        <w:numPr>
          <w:ilvl w:val="0"/>
          <w:numId w:val="2"/>
        </w:numPr>
        <w:spacing w:after="60"/>
      </w:pPr>
      <w:r>
        <w:t xml:space="preserve">Use the continuous weighted score (ideally a pre-registered subscore of discriminating items) rather than pass/fail.</w:t>
      </w:r>
    </w:p>
    <w:p>
      <w:pPr>
        <w:pStyle w:val="ListParagraph"/>
        <w:numPr>
          <w:ilvl w:val="0"/>
          <w:numId w:val="2"/>
        </w:numPr>
        <w:spacing w:after="60"/>
      </w:pPr>
      <w:r>
        <w:t xml:space="preserve">Construct caveat (confirmed): on knowledge-heavy questions, final-answer quality with a good AI is dominated by the AI’s competence, not the user’s skill. The endpoint is most sensitive on cases requiring verification against a primary source or genuinely hard judgment. Randomization still yields a valid causal estimate — it just needs power for a modest effect.</w:t>
      </w:r>
    </w:p>
    <w:p>
      <w:pPr>
        <w:pStyle w:val="Heading2"/>
      </w:pPr>
      <w:r>
        <w:t xml:space="preserve">6. Recommended next steps</w:t>
      </w:r>
    </w:p>
    <w:p>
      <w:pPr>
        <w:pStyle w:val="ListParagraph"/>
        <w:numPr>
          <w:ilvl w:val="0"/>
          <w:numId w:val="3"/>
        </w:numPr>
        <w:spacing w:after="60"/>
      </w:pPr>
      <w:r>
        <w:t xml:space="preserve">Audit the PAT004 rubric (Q1 anticoagulation duration, Q3 DOAC hold) — essentials look stricter than a correct answer.</w:t>
      </w:r>
    </w:p>
    <w:p>
      <w:pPr>
        <w:pStyle w:val="ListParagraph"/>
        <w:numPr>
          <w:ilvl w:val="0"/>
          <w:numId w:val="3"/>
        </w:numPr>
        <w:spacing w:after="60"/>
      </w:pPr>
      <w:r>
        <w:t xml:space="preserve">Re-examine PAT005 — at the ceiling for a modern model; raise difficulty or treat as a low-signal item.</w:t>
      </w:r>
    </w:p>
    <w:p>
      <w:pPr>
        <w:pStyle w:val="ListParagraph"/>
        <w:numPr>
          <w:ilvl w:val="0"/>
          <w:numId w:val="3"/>
        </w:numPr>
        <w:spacing w:after="60"/>
      </w:pPr>
      <w:r>
        <w:t xml:space="preserve">Tighten the discriminating cases (PAT003, PAT004, PAT007) and consider an AI-sensitive subscore for the primary endpoint.</w:t>
      </w:r>
    </w:p>
    <w:p>
      <w:pPr>
        <w:pStyle w:val="ListParagraph"/>
        <w:numPr>
          <w:ilvl w:val="0"/>
          <w:numId w:val="3"/>
        </w:numPr>
        <w:spacing w:after="60"/>
      </w:pPr>
      <w:r>
        <w:t xml:space="preserve">Run a power calculation using the observed effect (~6.7) and within-scenario SD, then lock the case set and N.</w:t>
      </w:r>
    </w:p>
    <w:p>
      <w:pPr>
        <w:pStyle w:val="ListParagraph"/>
        <w:numPr>
          <w:ilvl w:val="0"/>
          <w:numId w:val="3"/>
        </w:numPr>
        <w:spacing w:after="60"/>
      </w:pPr>
      <w:r>
        <w:t xml:space="preserve">Optionally re-run the discriminating cases at higher N for tighter per-case estimates before locking the protocol.</w:t>
      </w:r>
    </w:p>
    <w:p>
      <w:pPr>
        <w:pStyle w:val="Heading2"/>
      </w:pPr>
      <w:r>
        <w:t xml:space="preserve">7. Methodology notes &amp; caveats</w:t>
      </w:r>
    </w:p>
    <w:p>
      <w:pPr>
        <w:pStyle w:val="ListParagraph"/>
        <w:numPr>
          <w:ilvl w:val="0"/>
          <w:numId w:val="2"/>
        </w:numPr>
        <w:spacing w:after="60"/>
      </w:pPr>
      <w:r>
        <w:t xml:space="preserve">The advanced scenario used a single crafted prompt with synthesis but did not model multi-turn iteration; real advanced users who iterate further might score somewhat higher, so advanced numbers are a conservative lower bound on that dimension.</w:t>
      </w:r>
    </w:p>
    <w:p>
      <w:pPr>
        <w:pStyle w:val="ListParagraph"/>
        <w:numPr>
          <w:ilvl w:val="0"/>
          <w:numId w:val="2"/>
        </w:numPr>
        <w:spacing w:after="60"/>
      </w:pPr>
      <w:r>
        <w:t xml:space="preserve">The grader is deterministic at temperature 0 (measured spread = 0); all reported variability is from the answers, not the grading.</w:t>
      </w:r>
    </w:p>
    <w:p>
      <w:pPr>
        <w:pStyle w:val="ListParagraph"/>
        <w:numPr>
          <w:ilvl w:val="0"/>
          <w:numId w:val="2"/>
        </w:numPr>
        <w:spacing w:after="60"/>
      </w:pPr>
      <w:r>
        <w:t xml:space="preserve">An infrastructure bug was found and fixed mid-run: imaging report bodies were not loading into the chatbot (stored at imaging/{id}.json but the loader reads imaging/reports/{id}.json). All numbers reflect the corrected, full-context cases.</w:t>
      </w:r>
    </w:p>
    <w:p>
      <w:pPr>
        <w:pStyle w:val="ListParagraph"/>
        <w:numPr>
          <w:ilvl w:val="0"/>
          <w:numId w:val="2"/>
        </w:numPr>
        <w:spacing w:after="60"/>
      </w:pPr>
      <w:r>
        <w:t xml:space="preserve">Both scenarios used the production direct-browser path with the embedded key, matching what residents experience on actingintern.com.</w:t>
      </w:r>
    </w:p>
    <w:p>
      <w:pPr>
        <w:pStyle w:val="Heading2"/>
      </w:pPr>
      <w:r>
        <w:t xml:space="preserve">Appendix — per-question means (lazy / advanced)</w:t>
      </w:r>
    </w:p>
    <w:p>
      <w:pPr>
        <w:spacing w:after="120"/>
      </w:pPr>
      <w:r>
        <w:rPr>
          <w:sz w:val="18"/>
          <w:szCs w:val="18"/>
        </w:rPr>
        <w:t xml:space="preserve">PAT002 (NEJM CPS): Q1 .80/.76 · Q2 .96/.97 · Q3 .87/.84 · Q4 .74/.74 · Q5 .72/.88</w:t>
      </w:r>
    </w:p>
    <w:p>
      <w:pPr>
        <w:spacing w:after="120"/>
      </w:pPr>
      <w:r>
        <w:rPr>
          <w:sz w:val="18"/>
          <w:szCs w:val="18"/>
        </w:rPr>
        <w:t xml:space="preserve">PAT003 (Mgmt 1): differential .84/.94 · add’l info .74/.76 · keep-vs-discharge .44/.63 · outpatient process .42/.55 · inpatient endpoint .30/.59  (skill gap concentrated in the social-determinant / operationalization items)</w:t>
      </w:r>
    </w:p>
    <w:p>
      <w:pPr>
        <w:spacing w:after="120"/>
      </w:pPr>
      <w:r>
        <w:rPr>
          <w:sz w:val="18"/>
          <w:szCs w:val="18"/>
        </w:rPr>
        <w:t xml:space="preserve">PAT004 (Mgmt 2): anticoag duration .13/.30 · biopsy-timing factors .85/.98 · DOAC hold .36/.22 · bridging .20/.75 · IVC (this pt) .99/.97 · IVC pros/cons .83/.97  (Q1 &amp; Q3 are floor outliers — rubric audit)</w:t>
      </w:r>
    </w:p>
    <w:p>
      <w:pPr>
        <w:spacing w:after="120"/>
      </w:pPr>
      <w:r>
        <w:rPr>
          <w:sz w:val="18"/>
          <w:szCs w:val="18"/>
        </w:rPr>
        <w:t xml:space="preserve">PAT005 (Mgmt 3): all items ≈ .87–1.00 for both scenarios (ceiling)</w:t>
      </w:r>
    </w:p>
    <w:p>
      <w:pPr>
        <w:spacing w:after="120"/>
      </w:pPr>
      <w:r>
        <w:rPr>
          <w:sz w:val="18"/>
          <w:szCs w:val="18"/>
        </w:rPr>
        <w:t xml:space="preserve">PAT006 (Mgmt 4): monitoring .74/.77 · anticoag decision .95/.87 · anticoag choice .84/.64 · ambulatory monitor .79/.98</w:t>
      </w:r>
    </w:p>
    <w:p>
      <w:pPr>
        <w:spacing w:after="120"/>
      </w:pPr>
      <w:r>
        <w:rPr>
          <w:sz w:val="18"/>
          <w:szCs w:val="18"/>
        </w:rPr>
        <w:t xml:space="preserve">PAT007 (Mgmt 5): weight-loss eval .96/.93 · fever approach .87/.98 · antibiotics/de-escalate .66/.83 · CMO factors .82/.99 · explain to family .90/.82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497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e49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2026-06-01T17:40:18.056Z</dcterms:created>
  <dcterms:modified xsi:type="dcterms:W3CDTF">2026-06-01T17:40:18.056Z</dcterms:modified>
</cp:coreProperties>
</file>

<file path=docProps/custom.xml><?xml version="1.0" encoding="utf-8"?>
<Properties xmlns="http://schemas.openxmlformats.org/officeDocument/2006/custom-properties" xmlns:vt="http://schemas.openxmlformats.org/officeDocument/2006/docPropsVTypes"/>
</file>