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CC0633"/>
        </w:rPr>
        <w:t>Presentation Script — GSS 2026</w:t>
      </w:r>
    </w:p>
    <w:p>
      <w:pPr>
        <w:pStyle w:val="Heading1"/>
      </w:pPr>
      <w:r>
        <w:rPr>
          <w:color w:val="1A1A2E"/>
        </w:rPr>
        <w:t>Presentation Script — GSS 2026</w:t>
      </w:r>
    </w:p>
    <w:p>
      <w:pPr>
        <w:pStyle w:val="Heading2"/>
      </w:pPr>
      <w:r>
        <w:rPr>
          <w:color w:val="1A1A2E"/>
        </w:rPr>
        <w:t>"Execution-Aware A Search for Cross-Exchange Stablecoin Arbitrage"</w:t>
      </w:r>
    </w:p>
    <w:p>
      <w:pPr>
        <w:pStyle w:val="Heading3"/>
      </w:pPr>
      <w:r>
        <w:t>Kevin Litvin · Canadian AI 2026 Graduate Student Symposium</w:t>
      </w:r>
    </w:p>
    <w:p>
      <w:pPr>
        <w:pStyle w:val="Heading3"/>
      </w:pPr>
      <w:r>
        <w:t>8 minutes presented + 4 minutes Q&amp;A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Judging Criteria (internalize these — judges score on all six)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6"/>
        <w:gridCol w:w="3816"/>
      </w:tblGrid>
      <w:tr>
        <w:tc>
          <w:tcPr>
            <w:tcW w:type="dxa" w:w="5904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5904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Weight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Research clarity &amp; significance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25%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Content accuracy &amp; technical depth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25%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Narrative flow &amp; organization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20%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Audience engagement &amp; delivery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15%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Visual aid quality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10%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Q&amp;A preparedness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5%</w:t>
            </w:r>
          </w:p>
        </w:tc>
      </w:tr>
    </w:tbl>
    <w:p/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1 · Title · 0:00 – 0:35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2 · The Market · 0:35 – 1:25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3 · The Problem · 1:25 – 2:30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4 · The Dataset · 2:30 – 3:05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5 · Method: A · 3:05 – 3:50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6 · Three Heuristics · 3:50 – 4:45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7 · The Result · 4:45 – 5:25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8 · Real-World Proof · 5:25 – 6:05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9 · Why It Matters + Close · 6:05 – 8:00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t>Slide Visual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8"/>
        <w:gridCol w:w="1908"/>
        <w:gridCol w:w="1908"/>
        <w:gridCol w:w="1908"/>
      </w:tblGrid>
      <w:tr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Title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Key visual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FullGraph.png full-bleed dark background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`figures/FullGraph.png`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Market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Bar chart: MC $9T / Visa $15T / Stablecoins $33T + stat callouts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Problem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Four colour-coded barrier cards + "all baselines fail" punchline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Dataset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FullGraph.png + 4 stats (12 exch / 9 coins / 41 nodes / 864 edges)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`figures/FullGraph.png`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A* Method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f(n) formula + pipeline diagram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Heuristics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panels (h₁/h₂★/h₃) + slippage curve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Result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fig01_node_expansion_bar.png full-screen hero, h₂ in red, −29% large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`figures/fig01_node_expansion_bar.png`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Real-World Proof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TOP: fig10 overnight timeseries · BOTTOM: fig09 quote staleness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`figures/fig10_overnight_timeseries.png` + `fig09`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Close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FullGraph.png dark + three-word summary + fig18 radar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`figures/FullGraph.png` + `figures/fig18_radar_summary.png`</w:t>
            </w:r>
          </w:p>
        </w:tc>
      </w:tr>
    </w:tbl>
    <w:p/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r>
        <w:br w:type="page"/>
      </w:r>
    </w:p>
    <w:p>
      <w:pPr>
        <w:pStyle w:val="Heading1"/>
      </w:pPr>
      <w:r>
        <w:rPr>
          <w:color w:val="1B5E20"/>
        </w:rPr>
        <w:t>Q&amp;A Rebuttal Preparation</w:t>
      </w:r>
    </w:p>
    <w:p>
      <w:pPr>
        <w:pStyle w:val="Note"/>
      </w:pPr>
      <w:r>
        <w:t>Lead with the one-line opener every time. Aim for 30–45 seconds per answer.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Q1 — "Why A\ and not Bellman-Ford or negative cycle detection?"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"Bellman-Ford solves a different problem — it finds closed cycles that look profitable on paper, but does not model whether you can execute them."</w:t>
      </w:r>
    </w:p>
    <w:p>
      <w:pPr>
        <w:pStyle w:val="QABody"/>
      </w:pPr>
      <w:r>
        <w:t>Traditional arbitrage systems use negative cycle detection — closed loops where the product of exchange rates exceeds one. That framing has two problems here. First, it ignores all execution costs: fees, slippage, delays, reliability. Second, it requires returning to your starting asset — unnecessary when all assets are dollar-pegged stablecoins. Our open-path formulation is different: we look for any path ending with more USD than we started, accounting for all real costs. A* with goal-directed early termination is the right tool. Bellman-Ford, one-hop, and two-hop enumeration all fail under live market conditions.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Q2 — "Is a 29% reduction practically significant in live trading?"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"The significance is not just speed — it is that the heuristic steers search intelligently toward paths the market can actually support."</w:t>
      </w:r>
    </w:p>
    <w:p>
      <w:pPr>
        <w:pStyle w:val="QABody"/>
      </w:pPr>
      <w:r>
        <w:t>A 29% reduction while matching profit within 1% tells us h₂'s slippage estimate is genuinely informative — it guides A* toward the same high-quality routes as Dijkstra but with fewer dead ends. In deployment this means lower compute cost at scale — thousands of searches per day — and faster termination in time-sensitive windows. More importantly for the research: it validates that domain-specific guidance can improve efficiency without sacrificing solution quality.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Q3 — "Are your heuristics admissible? Do they guarantee optimal paths?"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"No — they are guidance penalties, not admissible lower bounds. We trade optimality guarantees for execution-aware steering, and we are explicit about that in the paper."</w:t>
      </w:r>
    </w:p>
    <w:p>
      <w:pPr>
        <w:pStyle w:val="QABody"/>
      </w:pPr>
      <w:r>
        <w:t>Admissibility requires the heuristic to never overestimate the true remaining cost. Ours are domain-specific calibrations tuned to execution risk, so they can overestimate — meaning A* may not return the globally optimal path. We accept that deliberately. In real-time arbitrage, a good executable path found quickly beats proving optimality. The fact that h₂ matches Dijkstra's profit within 1% across 7,200 instances suggests the practical cost of inadmissibility is negligible.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Q4 — "What are the main limitations?"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"Three honest ones: centralised exchanges only, planning not live execution, and heuristic weights need domain tuning."</w:t>
      </w:r>
    </w:p>
    <w:p>
      <w:pPr>
        <w:pStyle w:val="QABody"/>
      </w:pPr>
      <w:r>
        <w:t>First, CEX-only — DEX extension is future work. Second, we plan paths but do not place live orders; bridging the planning-execution gap — partial fills, rejections, race conditions — is open. Third, the lambda parameters in our heuristics were tuned on our dataset; applying to a different exchange set or asset class requires retuning. All three are in the conclusion.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Q5 — "How do you handle stale market quotes?"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"We ran a dedicated experiment: 99.6% of found paths remain profitable after two minutes — that defines the execution window."</w:t>
      </w:r>
    </w:p>
    <w:p>
      <w:pPr>
        <w:pStyle w:val="QABody"/>
      </w:pPr>
      <w:r>
        <w:t>After finding a path, we re-evaluated it at delays of 5, 30, 60, 120, and 300 seconds. Up to 120 seconds, 99.6% remained profitable. Beyond that, the rate degrades — telling us how long discrepancies actually persist. The practical answer: act within two minutes of path discovery.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Q6 — "Your paper shows 56.7% success on the cached graph. But you said every run found a path?"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"Those are two different experiments — good catch."</w:t>
      </w:r>
    </w:p>
    <w:p>
      <w:pPr>
        <w:pStyle w:val="QABody"/>
      </w:pPr>
      <w:r>
        <w:t>The 56.7% is from the cached-graph study: 30 fixed starting nodes, 17 of which had a reachable profitable path. Not every starting node has an arbitrage opportunity — the market may not support one from node X at that moment. The overnight campaign is different: 7,200 searches with varied starting conditions across 8 hours of live data. Every instance found a profitable path because we were not restricted to a fixed set of potentially unprofitable starting nodes.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Q7 — "Could this be used for market manipulation?"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"Arbitrage is market-stabilising — it pushes prices toward equilibrium, not away from it."</w:t>
      </w:r>
    </w:p>
    <w:p>
      <w:pPr>
        <w:pStyle w:val="QABody"/>
      </w:pPr>
      <w:r>
        <w:t>Our system finds naturally occurring discrepancies between independent exchanges. It does not coordinate orders to move prices, and the capital scale we test — $1,000 to $100,000 — is orders of magnitude below what would move a $300B market. Arbitrage is broadly considered stabilising: buying cheap and selling dear drives convergence. This is a planning and analysis framework, not a deployment-ready trading system.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r>
        <w:br w:type="page"/>
      </w:r>
    </w:p>
    <w:p>
      <w:pPr>
        <w:pStyle w:val="Heading2"/>
      </w:pPr>
      <w:r>
        <w:t>Timing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8"/>
        <w:gridCol w:w="1908"/>
        <w:gridCol w:w="1908"/>
        <w:gridCol w:w="1908"/>
      </w:tblGrid>
      <w:tr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Target end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Running total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Hook — Title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0:35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0:35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Market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1:25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1:25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Problem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2:30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2:30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Dataset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3:05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3:05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A* Method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3:50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3:50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Heuristics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4:45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4:45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Result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5:25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5:25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Real-World Proof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6:05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6:05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Why It Matters + Close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8:00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8:00</w:t>
            </w:r>
          </w:p>
        </w:tc>
      </w:tr>
    </w:tbl>
    <w:p/>
    <w:sectPr w:rsidR="00FC693F" w:rsidRPr="0006063C" w:rsidSect="00034616">
      <w:pgSz w:w="12240" w:h="15840"/>
      <w:pgMar w:top="1440" w:right="3168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lideHeader">
    <w:name w:val="SlideHeader"/>
    <w:basedOn w:val="Normal"/>
    <w:pPr>
      <w:spacing w:before="360" w:after="80"/>
    </w:pPr>
    <w:rPr>
      <w:rFonts w:ascii="Arial" w:hAnsi="Arial"/>
      <w:b/>
      <w:i w:val="0"/>
      <w:color w:val="CC0633"/>
      <w:sz w:val="32"/>
    </w:rPr>
  </w:style>
  <w:style w:type="paragraph" w:customStyle="1" w:styleId="Spoken">
    <w:name w:val="Spoken"/>
    <w:basedOn w:val="Normal"/>
    <w:pPr>
      <w:spacing w:before="80" w:after="120"/>
      <w:ind w:left="432"/>
    </w:pPr>
    <w:rPr>
      <w:rFonts w:ascii="Georgia" w:hAnsi="Georgia"/>
      <w:b w:val="0"/>
      <w:i/>
      <w:color w:val="1A1A2E"/>
      <w:sz w:val="24"/>
    </w:rPr>
  </w:style>
  <w:style w:type="paragraph" w:customStyle="1" w:styleId="Direction">
    <w:name w:val="Direction"/>
    <w:basedOn w:val="Normal"/>
    <w:pPr>
      <w:spacing w:before="40" w:after="40"/>
      <w:ind w:left="432"/>
    </w:pPr>
    <w:rPr>
      <w:rFonts w:ascii="Arial" w:hAnsi="Arial"/>
      <w:b w:val="0"/>
      <w:i/>
      <w:color w:val="888888"/>
      <w:sz w:val="20"/>
    </w:rPr>
  </w:style>
  <w:style w:type="paragraph" w:customStyle="1" w:styleId="PauseBeat">
    <w:name w:val="PauseBeat"/>
    <w:basedOn w:val="Normal"/>
    <w:pPr>
      <w:spacing w:before="40" w:after="40"/>
      <w:ind w:left="432"/>
    </w:pPr>
    <w:rPr>
      <w:rFonts w:ascii="Arial" w:hAnsi="Arial"/>
      <w:b/>
      <w:i w:val="0"/>
      <w:color w:val="2277CC"/>
      <w:sz w:val="20"/>
    </w:rPr>
  </w:style>
  <w:style w:type="paragraph" w:customStyle="1" w:styleId="Visual">
    <w:name w:val="Visual"/>
    <w:basedOn w:val="Normal"/>
    <w:pPr>
      <w:spacing w:before="40" w:after="120"/>
      <w:ind w:left="432"/>
    </w:pPr>
    <w:rPr>
      <w:rFonts w:ascii="Arial" w:hAnsi="Arial"/>
      <w:b w:val="0"/>
      <w:i w:val="0"/>
      <w:color w:val="6D4000"/>
      <w:sz w:val="20"/>
    </w:rPr>
  </w:style>
  <w:style w:type="paragraph" w:customStyle="1" w:styleId="SlideCue">
    <w:name w:val="SlideCue"/>
    <w:basedOn w:val="Normal"/>
    <w:pPr>
      <w:spacing w:before="40" w:after="80"/>
      <w:ind w:left="432"/>
    </w:pPr>
    <w:rPr>
      <w:rFonts w:ascii="Courier New" w:hAnsi="Courier New"/>
      <w:b w:val="0"/>
      <w:i w:val="0"/>
      <w:color w:val="444444"/>
      <w:sz w:val="18"/>
    </w:rPr>
  </w:style>
  <w:style w:type="paragraph" w:customStyle="1" w:styleId="QAHeader">
    <w:name w:val="QAHeader"/>
    <w:basedOn w:val="Normal"/>
    <w:pPr>
      <w:spacing w:before="280" w:after="80"/>
    </w:pPr>
    <w:rPr>
      <w:rFonts w:ascii="Arial" w:hAnsi="Arial"/>
      <w:b/>
      <w:i w:val="0"/>
      <w:color w:val="1B5E20"/>
      <w:sz w:val="26"/>
    </w:rPr>
  </w:style>
  <w:style w:type="paragraph" w:customStyle="1" w:styleId="QAOpener">
    <w:name w:val="QAOpener"/>
    <w:basedOn w:val="Normal"/>
    <w:pPr>
      <w:spacing w:before="40" w:after="40"/>
      <w:ind w:left="432"/>
    </w:pPr>
    <w:rPr>
      <w:rFonts w:ascii="Arial" w:hAnsi="Arial"/>
      <w:b/>
      <w:i w:val="0"/>
      <w:color w:val="1B5E20"/>
      <w:sz w:val="20"/>
    </w:rPr>
  </w:style>
  <w:style w:type="paragraph" w:customStyle="1" w:styleId="QABody">
    <w:name w:val="QABody"/>
    <w:basedOn w:val="Normal"/>
    <w:pPr>
      <w:spacing w:before="40" w:after="160"/>
      <w:ind w:left="432"/>
    </w:pPr>
    <w:rPr>
      <w:rFonts w:ascii="Arial" w:hAnsi="Arial"/>
      <w:b w:val="0"/>
      <w:i w:val="0"/>
      <w:color w:val="1A1A2E"/>
      <w:sz w:val="22"/>
    </w:rPr>
  </w:style>
  <w:style w:type="paragraph" w:customStyle="1" w:styleId="Note">
    <w:name w:val="Note"/>
    <w:basedOn w:val="Normal"/>
    <w:pPr>
      <w:spacing w:before="80" w:after="80"/>
    </w:pPr>
    <w:rPr>
      <w:rFonts w:ascii="Arial" w:hAnsi="Arial"/>
      <w:b w:val="0"/>
      <w:i/>
      <w:color w:val="888888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