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C0633"/>
        </w:rPr>
        <w:t>Presentation Script — GSS 2026</w:t>
      </w:r>
    </w:p>
    <w:p>
      <w:pPr>
        <w:pStyle w:val="Heading1"/>
      </w:pPr>
      <w:r>
        <w:rPr>
          <w:color w:val="1A1A2E"/>
        </w:rPr>
        <w:t>Presentation Script — GSS 2026</w:t>
      </w:r>
    </w:p>
    <w:p>
      <w:pPr>
        <w:pStyle w:val="Heading2"/>
      </w:pPr>
      <w:r>
        <w:rPr>
          <w:color w:val="1A1A2E"/>
        </w:rPr>
        <w:t>"Execution-Aware A Search for Cross-Exchange Stablecoin Arbitrage"</w:t>
      </w:r>
    </w:p>
    <w:p>
      <w:pPr>
        <w:pStyle w:val="Heading3"/>
      </w:pPr>
      <w:r>
        <w:t>Kevin Litvin · Canadian AI 2026 Graduate Student Symposium</w:t>
      </w:r>
    </w:p>
    <w:p>
      <w:pPr>
        <w:pStyle w:val="Heading3"/>
      </w:pPr>
      <w:r>
        <w:t>8 minutes presented + 4 minutes Q&amp;A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rPr>
          <w:color w:val="1A1A2E"/>
        </w:rPr>
        <w:t>Judging Criteria (internalize these — judges score on all six)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6"/>
        <w:gridCol w:w="3816"/>
      </w:tblGrid>
      <w:tr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5904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Research clarity &amp; significance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Content accuracy &amp; technical depth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Narrative flow &amp; organization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Audience engagement &amp; delivery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Visual aid quality</w:t>
            </w:r>
          </w:p>
        </w:tc>
        <w:tc>
          <w:tcPr>
            <w:tcW w:type="dxa" w:w="5904"/>
            <w:shd w:val="clear" w:color="auto" w:fill="F2F2F7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Q&amp;A preparedness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5%</w:t>
            </w:r>
          </w:p>
        </w:tc>
      </w:tr>
    </w:tbl>
    <w:p/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1 · Title · 0:00 – 0:35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S1 — Title slide. FullGraph.png full-bleed background at low opacity. Paper title, author name, CdnAI logo.]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Dense network graph visible behind the title before you speak. The graph IS the hook — let the audience read it for two seconds.</w:t>
      </w:r>
    </w:p>
    <w:p>
      <w:pPr>
        <w:pStyle w:val="Direction"/>
      </w:pPr>
      <w:r>
        <w:rPr>
          <w:color w:val="888888"/>
        </w:rPr>
        <w:t>[DIRECTION: Walk to centre. Two full seconds of silence. Make eye contact with three different people before you open your mouth.]</w:t>
      </w:r>
    </w:p>
    <w:p>
      <w:pPr>
        <w:pStyle w:val="Spoken"/>
      </w:pPr>
      <w:r>
        <w:t>"At any given moment, the same digital asset can be trading at a dozen different prices simultaneously across independent exchanges."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"This is fragmentation — both the problem and the opportunity. And the stablecoin market, where it happens, moved more than thirty-three trillion dollars last year."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"I'm Kevin Litvin from Simon Fraser University. This talk is about a pathfinding algorithm that turns that fragmentation into structured, executable profit — and a heuristic that makes the search itself dramatically more efficient."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2 · The Market · 0:35 – 1:25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S2 — Stablecoin scale visual. Suggested: stablecoin annual on-chain volume + $300B market cap as primary callouts; stablecoin share of crypto settlement as supporting bar. Source citation as small footer link on the slide — do NOT say verbally.]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Lead with the $33T figure and the network graph. The previous Visa/Mastercard comparison was an apples-to-oranges scale framing — replaced with crypto-internal share of volume, which is the relevant comparison.</w:t>
      </w:r>
    </w:p>
    <w:p>
      <w:pPr>
        <w:pStyle w:val="Spoken"/>
      </w:pPr>
      <w:r>
        <w:t>"Stablecoins — USDT, USDC, DAI — are blockchain-native dollars pegged one-to-one with fiat. Roughly three hundred billion dollars in circulation. Thirty-three trillion dollars in annual on-chain volume."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"To put that in context: stablecoins are the dominant settlement asset for cross-exchange capital movement in crypto markets. They are how traders rebalance positions, how cross-border settlements clear, how liquidity moves between venues."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"And they're listed across more than a dozen independent centralized exchanges — same coin, slightly different price on each, at the exact same instant."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"So the question this research asks:"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"Can domain-specific heuristics steer search through that fragmentation faster than general-purpose graph algorithms — without sacrificing profit quality?"</w:t>
      </w:r>
    </w:p>
    <w:p>
      <w:pPr>
        <w:pStyle w:val="PauseBeat"/>
      </w:pPr>
      <w:r>
        <w:rPr>
          <w:color w:val="2277CC"/>
        </w:rPr>
        <w:t>[PAUSE — let it land. Advance.]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3 · The Problem · 1:25 – 2:30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S3 — Four (or five) execution-cost cards: Fees / Slippage ★ / Latency / Operational Risk. Bottom punchline strip: "Bellman-Ford · 1-hop · 2-hop enumeration — none found a profitable executable path."]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Reveal each card on click as you name it. The novel one (slippage) gets a star and a different colour. Punchline strip appears last.</w:t>
      </w:r>
    </w:p>
    <w:p>
      <w:pPr>
        <w:pStyle w:val="Direction"/>
      </w:pPr>
      <w:r>
        <w:rPr>
          <w:color w:val="888888"/>
        </w:rPr>
        <w:t>[DIRECTION: Step slightly forward. Speak in clean technical phrases — no theatrics.]</w:t>
      </w:r>
    </w:p>
    <w:p>
      <w:pPr>
        <w:pStyle w:val="Spoken"/>
      </w:pPr>
      <w:r>
        <w:t>"Why does this need new search machinery? Why not just run shortest-path on the price graph?"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"Because four real-world costs collapse most candidate paths the moment you try to execute them."</w:t>
      </w:r>
    </w:p>
    <w:p>
      <w:pPr>
        <w:pStyle w:val="Direction"/>
      </w:pPr>
      <w:r>
        <w:rPr>
          <w:color w:val="888888"/>
        </w:rPr>
        <w:t>[DIRECTION: Count on fingers — one breath between each.]</w:t>
      </w:r>
    </w:p>
    <w:p>
      <w:pPr>
        <w:pStyle w:val="Spoken"/>
      </w:pPr>
      <w:r>
        <w:t>"One — fees. Taker fees compound across every hop."</w:t>
      </w:r>
    </w:p>
    <w:p>
      <w:pPr>
        <w:pStyle w:val="Spoken"/>
      </w:pPr>
      <w:r>
        <w:t>"Two — slippage. As a large order fills, it walks down the L2 order book — the live ladder of bids and asks at each price level — executing at progressively worse prices."</w:t>
      </w:r>
    </w:p>
    <w:p>
      <w:pPr>
        <w:pStyle w:val="Spoken"/>
      </w:pPr>
      <w:r>
        <w:t>"Three — latency. Cross-exchange transfers settle on-chain. Block times and congestion eat the execution window."</w:t>
      </w:r>
    </w:p>
    <w:p>
      <w:pPr>
        <w:pStyle w:val="Spoken"/>
      </w:pPr>
      <w:r>
        <w:t>"Four — operational risk. Withdrawals can be paused, regions geofenced or VPN-blocked. A path that exists on paper can be unreachable in practice."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"We tested three classical baselines — Bellman-Ford negative-cost detection, one-hop, and two-hop enumeration. None of them returned a profitable executable path under live conditions."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"We needed search that builds execution cost directly into the heuristic itself."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4 · The Dataset · 2:30 – 3:05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S4 — FullGraph.png on the left. Stats panel on the right: 12 exchanges / 9 stablecoin symbols / 41 nodes / 864 edges. Below the stats: small list of what each edge carries — fee, L2-derived slippage, gas, reliability.]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Let the graph image carry the weight. Gesture to it; do not narrate the colours.</w:t>
      </w:r>
    </w:p>
    <w:p>
      <w:pPr>
        <w:pStyle w:val="Direction"/>
      </w:pPr>
      <w:r>
        <w:rPr>
          <w:color w:val="888888"/>
        </w:rPr>
        <w:t>[DIRECTION: Gesture toward the graph image.]</w:t>
      </w:r>
    </w:p>
    <w:p>
      <w:pPr>
        <w:pStyle w:val="Spoken"/>
      </w:pPr>
      <w:r>
        <w:t>"This is the graph we built."</w:t>
      </w:r>
    </w:p>
    <w:p>
      <w:pPr>
        <w:pStyle w:val="Spoken"/>
      </w:pPr>
      <w:r>
        <w:t>"Forty-one nodes — each a stablecoin on one of twelve centralized exchanges. Eight hundred sixty-four directed edges. Each edge encodes the live execution cost of that hop: taker fee, slippage from the venue's L2 order book, on-chain settlement cost, and a venue-reliability discount."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"To our knowledge, this is the first academically integrated centralized-exchange stablecoin dataset assembled for arbitrage-style search."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"Goal: find a path that ends with more dollars than it started — with every execution cost accounted for."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5 · Method: A · 3:05 – 3:50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S5 — f(n) = g(n) + h(n) displayed large. Below it: pipeline diagram: Live L2 Order Books → Execution-Aware Graph → A* + h(n) → Profitable Path.]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Formula front and centre. Pipeline below shows what comes in and what comes out. Audience is CS — they don't need GPS metaphors, they need the precise statement.</w:t>
      </w:r>
    </w:p>
    <w:p>
      <w:pPr>
        <w:pStyle w:val="Spoken"/>
      </w:pPr>
      <w:r>
        <w:t>"Our search backbone is A* — best-first graph search with a goal-directed heuristic."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"Quick refresher: A* is Dijkstra's algorithm plus a heuristic. True accumulated cost g of n, plus an estimate h of n of the cost remaining. f equals g plus h decides which node we expand next."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"In our setup, g of n carries the accumulated execution cost — fees, slippage, gas, reliability. h of n is where our contribution lives: a domain-specific estimate of the execution risk still ahead."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"One important note for later: A* with h equal to zero is just Dijkstra — exhaustive best-first by cost. So Dijkstra on the same execution-aware graph is our profit-quality reference. The heuristic is what saves the work."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6 · Three Heuristics · 3:50 – 4:45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S6 — Three panels: h₁ Liquidity (blue) / h₂ ★ Slippage (red) / h₃ Chain+Venue (green). Each panel: short name, one-line definition, and the formula. Right side: slippage curve illustrating VWAP divergence as order size grows.]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Reveal each panel as you name it. Star h₂. The slippage curve on the right gives technical depth without needing extra words.</w:t>
      </w:r>
    </w:p>
    <w:p>
      <w:pPr>
        <w:pStyle w:val="Spoken"/>
      </w:pPr>
      <w:r>
        <w:t>"We designed three execution-aware heuristics. Each adds a domain-specific penalty to h of n — steering A* away from paths that look profitable on paper but are too risky to execute under live costs."</w:t>
      </w:r>
    </w:p>
    <w:p>
      <w:pPr>
        <w:pStyle w:val="Direction"/>
      </w:pPr>
      <w:r>
        <w:rPr>
          <w:color w:val="888888"/>
        </w:rPr>
        <w:t>[DIRECTION: Reveal each panel as you name it. One breath between each.]</w:t>
      </w:r>
    </w:p>
    <w:p>
      <w:pPr>
        <w:pStyle w:val="Spoken"/>
      </w:pPr>
      <w:r>
        <w:t>"h-one — Liquidity. Queries the live L2 order book from each venue and penalises hops where the available depth is too thin to absorb our order size."</w:t>
      </w:r>
    </w:p>
    <w:p>
      <w:pPr>
        <w:pStyle w:val="Spoken"/>
      </w:pPr>
      <w:r>
        <w:t>"h-two — Slippage. From the same L2 book, computes a volume-weighted execution price and penalises paths where the VWAP diverges from the mid-quote. Updates in real time as the book moves."</w:t>
      </w:r>
    </w:p>
    <w:p>
      <w:pPr>
        <w:pStyle w:val="Spoken"/>
      </w:pPr>
      <w:r>
        <w:t>"h-three — Chain and venue risk. Penalty proportional to on-chain settlement time, plus a discount for venue reliability."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"In our experiments, one of these three consistently outperforms the others."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7 · The Result · 4:45 – 5:25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S7 — fig01_node_expansion_bar.png full-screen. h₂ bar highlighted in SFU red. "−29%" annotation large. Header: "h₂ — 29% fewer node expansions · profit within 1% of Dijkstra".]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The bar chart is the entire message. The 29% gap must be readable from the back of the room. Slow down here.</w:t>
      </w:r>
    </w:p>
    <w:p>
      <w:pPr>
        <w:pStyle w:val="Direction"/>
      </w:pPr>
      <w:r>
        <w:rPr>
          <w:color w:val="888888"/>
        </w:rPr>
        <w:t>[DIRECTION: Slow down. Let each sentence land before the next.]</w:t>
      </w:r>
    </w:p>
    <w:p>
      <w:pPr>
        <w:pStyle w:val="Spoken"/>
      </w:pPr>
      <w:r>
        <w:t>"Here is the headline."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"The slippage heuristic — h-two — matched Dijkstra's profit quality within one percent across the test set."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"While expanding twenty-nine percent fewer nodes."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"That is a measurable efficiency gain from domain-specialized guidance, with no meaningful loss in solution quality."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"And it holds at scale — seven thousand two hundred independent searches across eight consecutive hours of live market data."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8 · Real-World Proof · 5:25 – 6:05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S8 — TOP half: fig10_overnight_timeseries.png. BOTTOM half: fig09_quote_staleness.png. Right callouts: "7,200 searches · 8 continuous hours" and "99.6% still profitable at +2 min".]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Two stacked plots. Top shows results held continuously through the overnight campaign; bottom shows the path stays valid for a meaningful window after discovery.</w:t>
      </w:r>
    </w:p>
    <w:p>
      <w:pPr>
        <w:pStyle w:val="Direction"/>
      </w:pPr>
      <w:r>
        <w:rPr>
          <w:color w:val="888888"/>
        </w:rPr>
        <w:t>[DIRECTION: Brief pause after advancing to this slide.]</w:t>
      </w:r>
    </w:p>
    <w:p>
      <w:pPr>
        <w:pStyle w:val="Spoken"/>
      </w:pPr>
      <w:r>
        <w:t>"To stress-test this, we ran what we call our overnight campaign — eight hours of continuous A* search against twelve live exchange feeds. Two findings stand out."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"First — across all seven thousand two hundred searches, the algorithm consistently surfaced profitable executable paths. Reproducible at high volume, not a one-off."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"Second — staleness. There is always a gap between finding a path and being able to act on it: operator review, transfer confirmation. So we measured how long an opportunity actually persists. Ninety-nine point six percent of paths were still profitable two minutes after discovery. After that, the market converges."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"Practical execution window: about one hundred and twenty seconds."</w:t>
      </w:r>
    </w:p>
    <w:p>
      <w:pPr>
        <w:pBdr>
          <w:bottom w:val="single" w:sz="4" w:space="1" w:color="CCCCCC"/>
        </w:pBdr>
        <w:spacing w:after="80"/>
      </w:pPr>
    </w:p>
    <w:p>
      <w:pPr>
        <w:pStyle w:val="SlideHeader"/>
        <w:pBdr>
          <w:left w:val="single" w:sz="24" w:space="6" w:color="CC0633"/>
        </w:pBdr>
      </w:pPr>
      <w:r>
        <w:t>SLIDE 9 · Why It Matters + Close · 6:05 – 8:00</w:t>
      </w:r>
    </w:p>
    <w:p>
      <w:pPr>
        <w:pStyle w:val="SlideCue"/>
        <w:shd w:val="clear" w:color="auto" w:fill="E8EAF6"/>
        <w:ind w:left="432"/>
      </w:pPr>
      <w:r>
        <w:rPr>
          <w:rFonts w:ascii="Courier New" w:hAnsi="Courier New"/>
          <w:color w:val="444444"/>
          <w:sz w:val="18"/>
        </w:rPr>
        <w:t>[SLIDE: S9 — FullGraph.png full-bleed dark. LEFT: three lines large — "Less Exploration. / More Execution. / Same Profit." RIGHT: fig18_radar_summary.png — method comparison radar across all metrics.]</w:t>
      </w:r>
    </w:p>
    <w:p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rPr>
          <w:color w:val="6D4000"/>
        </w:rPr>
        <w:t>Callback to the title-slide graph — now meaningful. The radar on the right summarizes the full method comparison so judges can read the holistic story.</w:t>
      </w:r>
    </w:p>
    <w:p>
      <w:pPr>
        <w:pStyle w:val="Direction"/>
      </w:pPr>
      <w:r>
        <w:rPr>
          <w:color w:val="888888"/>
        </w:rPr>
        <w:t>[DIRECTION: Energy rises first for the "why it matters" section, then pace drops for the close.]</w:t>
      </w:r>
    </w:p>
    <w:p>
      <w:pPr>
        <w:pStyle w:val="Spoken"/>
      </w:pPr>
      <w:r>
        <w:t>"Why does this matter beyond stablecoin trading?"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"Picture two people running the same search on the same graph. One uses general-purpose graph search. The other uses our domain-specialized heuristic. Both find the same profitable path — ours gets there with twenty-nine percent less compute and twenty-nine percent less latency."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"In a market with a hundred-and-twenty-second execution window, that's a structural edge."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"More broadly, this is a template for execution-aware search in any fragmented marketplace — decentralized exchanges, AMMs, on-chain liquidity. That's the natural next frontier."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Direction"/>
      </w:pPr>
      <w:r>
        <w:rPr>
          <w:color w:val="888888"/>
        </w:rPr>
        <w:t>[DIRECTION: Return to centre. Slow your pace.]</w:t>
      </w:r>
    </w:p>
    <w:p>
      <w:pPr>
        <w:pStyle w:val="Spoken"/>
      </w:pPr>
      <w:r>
        <w:t>"We asked: can heuristic guidance steer search through a fragmented market faster than general-purpose algorithms — without sacrificing profit?"</w:t>
      </w:r>
    </w:p>
    <w:p>
      <w:pPr>
        <w:pStyle w:val="PauseBeat"/>
      </w:pPr>
      <w:r>
        <w:rPr>
          <w:color w:val="2277CC"/>
        </w:rPr>
        <w:t>[PAUSE]</w:t>
      </w:r>
    </w:p>
    <w:p>
      <w:pPr>
        <w:pStyle w:val="Spoken"/>
      </w:pPr>
      <w:r>
        <w:t>"The short answer is yes."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"Less exploration. More execution. Same profit."</w:t>
      </w:r>
    </w:p>
    <w:p>
      <w:pPr>
        <w:pStyle w:val="PauseBeat"/>
      </w:pPr>
      <w:r>
        <w:rPr>
          <w:color w:val="2277CC"/>
        </w:rPr>
        <w:t>[PAUSE — two full seconds. Make eye contact.]</w:t>
      </w:r>
    </w:p>
    <w:p>
      <w:pPr>
        <w:pStyle w:val="Spoken"/>
      </w:pPr>
      <w:r>
        <w:t>"Or, if you prefer the consumer analogy: Google Maps, for thirty-three trillion dollars in stablecoin volume."</w:t>
      </w:r>
    </w:p>
    <w:p>
      <w:pPr>
        <w:pStyle w:val="PauseBeat"/>
      </w:pPr>
      <w:r>
        <w:rPr>
          <w:color w:val="2277CC"/>
        </w:rPr>
        <w:t>[BEAT]</w:t>
      </w:r>
    </w:p>
    <w:p>
      <w:pPr>
        <w:pStyle w:val="Spoken"/>
      </w:pPr>
      <w:r>
        <w:t>"Thank you."</w:t>
      </w:r>
    </w:p>
    <w:p>
      <w:pPr>
        <w:pStyle w:val="Direction"/>
      </w:pPr>
      <w:r>
        <w:rPr>
          <w:color w:val="888888"/>
        </w:rPr>
        <w:t>[DIRECTION: Hold the silence. Do not add "...any questions?" — let the room respond.]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pPr>
        <w:pStyle w:val="Heading2"/>
      </w:pPr>
      <w:r>
        <w:t>Slide Visual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Key visual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FullGraph.png full-bleed dark background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`figures/FullGraph.png`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Market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Stablecoin volume + market cap callouts + share-of-crypto-volume supporting bar (citation as slide footer link)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Generated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The Problem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Four execution-cost cards (Fees / Slippage★ / Latency / Operational Risk) + "all baselines fail" punchline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Generated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Dataset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FullGraph.png + stats (12 exch / 9 coins / 41 nodes / 864 edges) + edge-payload list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`figures/FullGraph.png`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A* Method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f(n) formula + L2→graph→A*→path pipeline diagram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Generated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Three Heuristics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Three panels (h₁/h₂★/h₃) + slippage / VWAP-divergence curve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Generated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The Result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fig01_node_expansion_bar.png full-screen hero, h₂ in red, −29% large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`figures/fig01_node_expansion_bar.png`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Real-World Proof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TOP: fig10 overnight timeseries · BOTTOM: fig09 quote staleness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`figures/fig10_overnight_timeseries.png` + `fig09`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FullGraph.png dark + three-line summary + fig18 radar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`figures/FullGraph.png` + `figures/fig18_radar_summary.png`</w:t>
            </w:r>
          </w:p>
        </w:tc>
      </w:tr>
    </w:tbl>
    <w:p/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r>
        <w:br w:type="page"/>
      </w:r>
    </w:p>
    <w:p>
      <w:pPr>
        <w:pStyle w:val="Heading1"/>
      </w:pPr>
      <w:r>
        <w:rPr>
          <w:color w:val="1B5E20"/>
        </w:rPr>
        <w:t>Q&amp;A Rebuttal Preparation</w:t>
      </w:r>
    </w:p>
    <w:p>
      <w:pPr>
        <w:pStyle w:val="Note"/>
      </w:pPr>
      <w:r>
        <w:t>Lead with the one-line opener every time. Aim for 30–45 seconds per answer.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Q1 — "Why A\ and not Bellman-Ford or negative cycle detection?"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"Bellman-Ford with negative-cycle detection solves a different problem — closed cycles on a static graph, with no execution costs modeled."</w:t>
      </w:r>
    </w:p>
    <w:p>
      <w:pPr>
        <w:pStyle w:val="QABody"/>
      </w:pPr>
      <w:r>
        <w:t>Traditional stablecoin arbitrage work formulates the problem as negative-cycle detection on the price graph — a closed loop where the product of exchange rates exceeds one. That framing has two issues for us. First, it ignores all execution costs: fees, slippage, on-chain delays, operational risk. Second, it requires returning to the starting asset, which is an unnecessary constraint when all assets are dollar-pegged stablecoins. Our formulation is an open-path one: find any path ending with more USD than we started, with execution costs fully accounted for. A* with goal-directed termination is the right tool, and the three classical baselines we tested — Bellman-Ford, one-hop, and two-hop enumeration — all failed to produce a profitable executable path under live conditions.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Q2 — "Is a 29% reduction in node expansions practically significant?"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"The significance is not just compute — it's that the heuristic is genuinely informative about execution risk, which is what we wanted to prove."</w:t>
      </w:r>
    </w:p>
    <w:p>
      <w:pPr>
        <w:pStyle w:val="QABody"/>
      </w:pPr>
      <w:r>
        <w:t>A 29% reduction in node expansions while matching profit quality within 1% tells us h₂'s slippage estimate is doing real work — A* is being guided toward the same high-quality routes Dijkstra finds, but with fewer wasted expansions on paths that would have failed under execution costs. In deployment, that's lower compute at scale and faster termination inside time-sensitive windows. For the research contribution, it validates that domain-specific guidance can improve efficiency without trading away solution quality.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Q3 — "Are your heuristics admissible? Do you guarantee optimal paths?"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"No — they are guidance penalties, not admissible lower bounds. We trade optimality guarantees for execution-aware steering, and we're explicit about that in the paper."</w:t>
      </w:r>
    </w:p>
    <w:p>
      <w:pPr>
        <w:pStyle w:val="QABody"/>
      </w:pPr>
      <w:r>
        <w:t>Admissibility requires the heuristic to never overestimate the true remaining cost. Ours are domain-specific risk penalties tuned to execution conditions, so they can overestimate — meaning A* may not return the globally optimal path. We accept that deliberately. In real-time arbitrage-like search, a good executable path found quickly beats proving optimality. And empirically, h₂ matches Dijkstra's profit within 1% across 7,200 instances, which suggests the practical cost of inadmissibility is negligible in this regime.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Q4 — "What are the main limitations?"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"Three honest ones: centralised exchanges only, planning rather than live execution, and heuristic weights that need domain tuning."</w:t>
      </w:r>
    </w:p>
    <w:p>
      <w:pPr>
        <w:pStyle w:val="QABody"/>
      </w:pPr>
      <w:r>
        <w:t>First, CEX-only — extending to DEXs is future work. Second, we plan paths but do not place live orders; bridging the planning-to-execution gap (partial fills, rejections, race conditions, MEV) is an open problem. Third, the lambda parameters in our heuristics were tuned on this dataset; applying to a different exchange set or asset class would require retuning. All three are discussed in the conclusion.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Q5 — "How do you handle stale market quotes?"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"We measured it directly: 99.6% of found paths remain profitable two minutes after discovery — and that defines the execution window."</w:t>
      </w:r>
    </w:p>
    <w:p>
      <w:pPr>
        <w:pStyle w:val="QABody"/>
      </w:pPr>
      <w:r>
        <w:t>After A* surfaces a path, we re-evaluated it under fresh order books at delays of 5, 30, 60, 120, and 300 seconds. Up through 120 seconds the success rate stays at 99.6%. Past that, the rate degrades as the market converges. That gives us a concrete practical answer: act within two minutes of path discovery.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Q6 — "Your paper shows 56.7% success on the cached graph. But you said every overnight run found a path?"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"They're two different experiments — good catch."</w:t>
      </w:r>
    </w:p>
    <w:p>
      <w:pPr>
        <w:pStyle w:val="QABody"/>
      </w:pPr>
      <w:r>
        <w:t>The 56.7% figure is from the cached-graph study: 30 fixed starting nodes, 17 of which had a reachable profitable path. Not every starting node has an arbitrage opportunity — the market may not support one from node X at that moment. The overnight campaign is a different setup: 7,200 searches with varied starting conditions across 8 hours of live data. Across that campaign the algorithm consistently surfaced profitable executable paths, because we weren't restricted to a fixed set of potentially unprofitable starting nodes.</w:t>
      </w:r>
    </w:p>
    <w:p>
      <w:pPr>
        <w:pBdr>
          <w:bottom w:val="single" w:sz="4" w:space="1" w:color="CCCCCC"/>
        </w:pBdr>
        <w:spacing w:after="80"/>
      </w:pPr>
    </w:p>
    <w:p>
      <w:pPr>
        <w:pStyle w:val="QAHeader"/>
        <w:pBdr>
          <w:left w:val="single" w:sz="18" w:space="6" w:color="1B5E20"/>
        </w:pBdr>
      </w:pPr>
      <w:r>
        <w:t>Q7 — "Could this be used for market manipulation?"</w:t>
      </w:r>
    </w:p>
    <w:p>
      <w:pPr>
        <w:pStyle w:val="QAOpener"/>
        <w:shd w:val="clear" w:color="auto" w:fill="E8F5E9"/>
      </w:pPr>
      <w:r>
        <w:rPr>
          <w:b/>
          <w:color w:val="1B5E20"/>
        </w:rPr>
        <w:t xml:space="preserve">One-liner:  </w:t>
      </w:r>
      <w:r>
        <w:rPr>
          <w:i/>
          <w:color w:val="1A1A2E"/>
        </w:rPr>
        <w:t>"Arbitrage-style trading is broadly price-stabilising — it pushes prices toward equilibrium, not away from it."</w:t>
      </w:r>
    </w:p>
    <w:p>
      <w:pPr>
        <w:pStyle w:val="QABody"/>
      </w:pPr>
      <w:r>
        <w:t>Our system finds naturally occurring discrepancies between independent exchanges. It does not coordinate orders to move prices, and the capital scale we test — $1,000 to $100,000 — is orders of magnitude below what would move a $300B market. Arbitrage of this form is considered stabilising in market microstructure: buying cheap and selling dear drives convergence. This is a planning and analysis framework, not a deployment-ready trading system.</w:t>
      </w:r>
    </w:p>
    <w:p>
      <w:pPr>
        <w:pBdr>
          <w:bottom w:val="single" w:sz="4" w:space="1" w:color="CCCCCC"/>
        </w:pBdr>
        <w:spacing w:after="80"/>
      </w:pPr>
    </w:p>
    <w:p>
      <w:pPr>
        <w:pBdr>
          <w:bottom w:val="single" w:sz="4" w:space="1" w:color="CCCCCC"/>
        </w:pBdr>
        <w:spacing w:after="80"/>
      </w:pPr>
    </w:p>
    <w:p>
      <w:r>
        <w:br w:type="page"/>
      </w:r>
    </w:p>
    <w:p>
      <w:pPr>
        <w:pStyle w:val="Heading2"/>
      </w:pPr>
      <w:r>
        <w:t>Timing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Target end</w:t>
            </w:r>
          </w:p>
        </w:tc>
        <w:tc>
          <w:tcPr>
            <w:tcW w:type="dxa" w:w="2952"/>
            <w:shd w:val="clear" w:color="auto" w:fill="CC0633"/>
          </w:tcPr>
          <w:p>
            <w:r>
              <w:rPr>
                <w:b/>
                <w:color w:val="FFFFFF"/>
                <w:sz w:val="20"/>
              </w:rPr>
              <w:t>Running total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Hook — Title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0:35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0:35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Market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1:25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1:25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The Problem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2:30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2:30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The Dataset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3:05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3:05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A* Method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3:50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3:50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Three Heuristics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4:45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4:45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The Result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5:25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5:25</w:t>
            </w:r>
          </w:p>
        </w:tc>
      </w:tr>
      <w:tr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Real-World Proof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6:05</w:t>
            </w:r>
          </w:p>
        </w:tc>
        <w:tc>
          <w:tcPr>
            <w:tcW w:type="dxa" w:w="2952"/>
            <w:shd w:val="clear" w:color="auto" w:fill="FFFFFF"/>
          </w:tcPr>
          <w:p>
            <w:r>
              <w:rPr>
                <w:sz w:val="20"/>
              </w:rPr>
              <w:t>6:05</w:t>
            </w:r>
          </w:p>
        </w:tc>
      </w:tr>
      <w:tr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Why It Matters + Close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8:00</w:t>
            </w:r>
          </w:p>
        </w:tc>
        <w:tc>
          <w:tcPr>
            <w:tcW w:type="dxa" w:w="2952"/>
            <w:shd w:val="clear" w:color="auto" w:fill="F2F2F7"/>
          </w:tcPr>
          <w:p>
            <w:r>
              <w:rPr>
                <w:sz w:val="20"/>
              </w:rPr>
              <w:t>8:00</w:t>
            </w:r>
          </w:p>
        </w:tc>
      </w:tr>
    </w:tbl>
    <w:p/>
    <w:sectPr w:rsidR="00FC693F" w:rsidRPr="0006063C" w:rsidSect="00034616">
      <w:pgSz w:w="12240" w:h="15840"/>
      <w:pgMar w:top="1440" w:right="31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Header">
    <w:name w:val="SlideHeader"/>
    <w:basedOn w:val="Normal"/>
    <w:pPr>
      <w:spacing w:before="360" w:after="80"/>
    </w:pPr>
    <w:rPr>
      <w:rFonts w:ascii="Arial" w:hAnsi="Arial"/>
      <w:b/>
      <w:i w:val="0"/>
      <w:color w:val="CC0633"/>
      <w:sz w:val="32"/>
    </w:rPr>
  </w:style>
  <w:style w:type="paragraph" w:customStyle="1" w:styleId="Spoken">
    <w:name w:val="Spoken"/>
    <w:basedOn w:val="Normal"/>
    <w:pPr>
      <w:spacing w:before="80" w:after="120"/>
      <w:ind w:left="432"/>
    </w:pPr>
    <w:rPr>
      <w:rFonts w:ascii="Georgia" w:hAnsi="Georgia"/>
      <w:b w:val="0"/>
      <w:i/>
      <w:color w:val="1A1A2E"/>
      <w:sz w:val="24"/>
    </w:rPr>
  </w:style>
  <w:style w:type="paragraph" w:customStyle="1" w:styleId="Direction">
    <w:name w:val="Direction"/>
    <w:basedOn w:val="Normal"/>
    <w:pPr>
      <w:spacing w:before="40" w:after="40"/>
      <w:ind w:left="432"/>
    </w:pPr>
    <w:rPr>
      <w:rFonts w:ascii="Arial" w:hAnsi="Arial"/>
      <w:b w:val="0"/>
      <w:i/>
      <w:color w:val="888888"/>
      <w:sz w:val="20"/>
    </w:rPr>
  </w:style>
  <w:style w:type="paragraph" w:customStyle="1" w:styleId="PauseBeat">
    <w:name w:val="PauseBeat"/>
    <w:basedOn w:val="Normal"/>
    <w:pPr>
      <w:spacing w:before="40" w:after="40"/>
      <w:ind w:left="432"/>
    </w:pPr>
    <w:rPr>
      <w:rFonts w:ascii="Arial" w:hAnsi="Arial"/>
      <w:b/>
      <w:i w:val="0"/>
      <w:color w:val="2277CC"/>
      <w:sz w:val="20"/>
    </w:rPr>
  </w:style>
  <w:style w:type="paragraph" w:customStyle="1" w:styleId="Visual">
    <w:name w:val="Visual"/>
    <w:basedOn w:val="Normal"/>
    <w:pPr>
      <w:spacing w:before="40" w:after="120"/>
      <w:ind w:left="432"/>
    </w:pPr>
    <w:rPr>
      <w:rFonts w:ascii="Arial" w:hAnsi="Arial"/>
      <w:b w:val="0"/>
      <w:i w:val="0"/>
      <w:color w:val="6D4000"/>
      <w:sz w:val="20"/>
    </w:rPr>
  </w:style>
  <w:style w:type="paragraph" w:customStyle="1" w:styleId="SlideCue">
    <w:name w:val="SlideCue"/>
    <w:basedOn w:val="Normal"/>
    <w:pPr>
      <w:spacing w:before="40" w:after="80"/>
      <w:ind w:left="432"/>
    </w:pPr>
    <w:rPr>
      <w:rFonts w:ascii="Courier New" w:hAnsi="Courier New"/>
      <w:b w:val="0"/>
      <w:i w:val="0"/>
      <w:color w:val="444444"/>
      <w:sz w:val="18"/>
    </w:rPr>
  </w:style>
  <w:style w:type="paragraph" w:customStyle="1" w:styleId="QAHeader">
    <w:name w:val="QAHeader"/>
    <w:basedOn w:val="Normal"/>
    <w:pPr>
      <w:spacing w:before="280" w:after="80"/>
    </w:pPr>
    <w:rPr>
      <w:rFonts w:ascii="Arial" w:hAnsi="Arial"/>
      <w:b/>
      <w:i w:val="0"/>
      <w:color w:val="1B5E20"/>
      <w:sz w:val="26"/>
    </w:rPr>
  </w:style>
  <w:style w:type="paragraph" w:customStyle="1" w:styleId="QAOpener">
    <w:name w:val="QAOpener"/>
    <w:basedOn w:val="Normal"/>
    <w:pPr>
      <w:spacing w:before="40" w:after="40"/>
      <w:ind w:left="432"/>
    </w:pPr>
    <w:rPr>
      <w:rFonts w:ascii="Arial" w:hAnsi="Arial"/>
      <w:b/>
      <w:i w:val="0"/>
      <w:color w:val="1B5E20"/>
      <w:sz w:val="20"/>
    </w:rPr>
  </w:style>
  <w:style w:type="paragraph" w:customStyle="1" w:styleId="QABody">
    <w:name w:val="QABody"/>
    <w:basedOn w:val="Normal"/>
    <w:pPr>
      <w:spacing w:before="40" w:after="160"/>
      <w:ind w:left="432"/>
    </w:pPr>
    <w:rPr>
      <w:rFonts w:ascii="Arial" w:hAnsi="Arial"/>
      <w:b w:val="0"/>
      <w:i w:val="0"/>
      <w:color w:val="1A1A2E"/>
      <w:sz w:val="22"/>
    </w:rPr>
  </w:style>
  <w:style w:type="paragraph" w:customStyle="1" w:styleId="Note">
    <w:name w:val="Note"/>
    <w:basedOn w:val="Normal"/>
    <w:pPr>
      <w:spacing w:before="80" w:after="80"/>
    </w:pPr>
    <w:rPr>
      <w:rFonts w:ascii="Arial" w:hAnsi="Arial"/>
      <w:b w:val="0"/>
      <w:i/>
      <w:color w:val="88888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