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C0633"/>
        </w:rPr>
        <w:t>Presentation Script — GSS 2026</w:t>
      </w:r>
    </w:p>
    <w:p>
      <w:pPr>
        <w:pStyle w:val="Heading1"/>
      </w:pPr>
      <w:r>
        <w:rPr>
          <w:color w:val="1A1A2E"/>
        </w:rPr>
        <w:t>Presentation Script — GSS 2026</w:t>
      </w:r>
    </w:p>
    <w:p>
      <w:pPr>
        <w:pStyle w:val="Heading2"/>
      </w:pPr>
      <w:r>
        <w:rPr>
          <w:color w:val="1A1A2E"/>
        </w:rPr>
        <w:t>"Execution-Aware A Search for Cross-Exchange Stablecoin Arbitrage"</w:t>
      </w:r>
    </w:p>
    <w:p>
      <w:pPr>
        <w:pStyle w:val="Heading3"/>
      </w:pPr>
      <w:r>
        <w:t>Kevin Litvin · Canadian AI 2026 Graduate Student Symposium</w:t>
      </w:r>
    </w:p>
    <w:p>
      <w:pPr>
        <w:pStyle w:val="Heading3"/>
      </w:pPr>
      <w:r>
        <w:t>8 minutes presented + 4 minutes Q&amp;A</w:t>
      </w:r>
    </w:p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Judging Criteria (internalize these — judges score on all six)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5904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5904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Research clarity &amp; significance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Content accuracy &amp; technical depth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Narrative flow &amp; organization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Audience engagement &amp; delivery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Visual aid quality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Q&amp;A preparedness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5%</w:t>
            </w:r>
          </w:p>
        </w:tc>
      </w:tr>
    </w:tbl>
    <w:p/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1 · Title · 0:00 – 0:50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2 · The Market · 0:50 – 1:35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3 · Price Fragmentation · 1:35 – 2:00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4 · Execution Barriers · 2:00 – 2:50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5 · Baselines Fail · 2:50 – 3:10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6 · The Dataset · 3:10 – 3:40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7 · Method: A Search · 3:40 – 4:20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8 · Three Heuristics · 4:20 – 5:10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9 · Key Result · 5:10 – 5:40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10 · Profit Quality &amp; Speed · 5:40 – 6:00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11 · Overnight Campaign · 6:00 – 6:22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12 · Execution Window · 6:22 – 6:38</w:t>
      </w: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SLIDE 13 · Why It Matters + Close · 6:38 – 8:00</w:t>
      </w:r>
    </w:p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t>Slide Visual Guide — Quick Reference (v2 — 13 slides)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</w:tblGrid>
      <w:tr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Slide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Key visual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FullGraph.png full-bleed background at low opacity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`figures/FullGraph.png`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Market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Bar chart: MC $9T / Visa $15T / Stablecoins $33T + stat callouts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`v2_market.png` (generated)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Price Fragmentation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Horizontal bar: USDT mid-price across 12 exchanges, spread annotated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`v2_price_table.png` (generated)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Execution Barriers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Four colour-coded challenge cards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Generated in fill_slides_v2.py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Baselines Fail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Bar chart: Bellman-Ford/1-hop/2-hop = $0, A*+h₂ = $9.91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`v2_baselines.png` (generated)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FullGraph.png + 4 stats (12 exch / 9 coins / 41 nodes / 864 edges)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`figures/FullGraph.png`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A* Method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f(n) formula + pipeline diagram (Data → Graph → A*+h₂ → Path)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`v2_pipeline.png` (generated)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Heuristics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Three panels (h₁/h₂★/h₃) + slippage curve for h₂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`v2_slippage.png` (generated)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Key Result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fig01_node_expansion_bar.png full-screen, h₂ highlighted, −29% large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`figures/fig01_node_expansion_bar.png`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Profit Quality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fig03 profit boxplot (LEFT) + fig02 compute time (RIGHT)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`figures/fig03_profit_boxplot.png` + `fig02`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Overnight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fig10 overnight time series (TOP) + fig11 heuristic comparison (BOTTOM)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`figures/fig10_overnight_timeseries.png` + `fig11`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Execution Window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fig09 quote staleness curve + "99.6%" callout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`figures/fig09_quote_staleness.png`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FullGraph.png dark + three-word summary + fig18 radar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`figures/FullGraph.png` + `figures/fig18_radar_summary.png`</w:t>
            </w:r>
          </w:p>
        </w:tc>
      </w:tr>
    </w:tbl>
    <w:p/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r>
        <w:br w:type="page"/>
      </w:r>
    </w:p>
    <w:p>
      <w:pPr>
        <w:pStyle w:val="Heading1"/>
      </w:pPr>
      <w:r>
        <w:rPr>
          <w:color w:val="1B5E20"/>
        </w:rPr>
        <w:t>Q&amp;A Rebuttal Preparation</w:t>
      </w:r>
    </w:p>
    <w:p>
      <w:pPr>
        <w:pStyle w:val="Note"/>
      </w:pPr>
      <w:r>
        <w:t>Lead with the one-line opener every time. Aim for 30–45 seconds per answer.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Q1 — "Why A\ and not Bellman-Ford or negative cycle detection?"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"Bellman-Ford solves a different problem. It finds closed cycles that look profitable on paper — it does not model whether you can execute them."</w:t>
      </w:r>
    </w:p>
    <w:p>
      <w:pPr>
        <w:pStyle w:val="QABody"/>
      </w:pPr>
      <w:r>
        <w:t>Traditional arbitrage systems use negative cycle detection — they look for closed loops where the product of exchange rates exceeds one. But that framing has two problems for our setting. First, it ignores execution costs entirely: fees, slippage, transfer delays, and exchange reliability are not in that model. Second, it requires a closed loop — returning to your starting asset — which is unnecessary when all assets are dollar-pegged stablecoins. Our open-path formulation is fundamentally different: we are looking for any path that ends with more USD value than we started with, accounting for all real costs. A* with goal-directed early termination is the right tool for that problem. Bellman-Ford, one-hop, and two-hop enumeration all fail in our experiments — they cannot identify a profitable executable path under live market conditions.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Q2 — "Is a 29% reduction in node expansions practically significant in live trading?"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"The significance is not just speed — it is that the heuristic is steering search more intelligently, toward paths the market can actually support."</w:t>
      </w:r>
    </w:p>
    <w:p>
      <w:pPr>
        <w:pStyle w:val="QABody"/>
      </w:pPr>
      <w:r>
        <w:t>A 29% reduction while matching profit within 1% tells us something important: h₂'s slippage estimate is genuinely informative. It is guiding A* toward the same high-quality routes as Dijkstra, but exploring fewer dead ends along the way. In a real deployment, this translates to lower computational cost at scale — thousands of searches per day — and faster termination in time-sensitive windows. But more importantly for the research: it validates that domain-specific guidance can improve search efficiency without sacrificing solution quality, which has implications beyond this specific application.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Q3 — "Are your heuristics admissible? Do they guarantee optimal paths?"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"No — they are guidance penalties, not admissible lower bounds. We trade optimality guarantees for execution-aware steering, and we are explicit about that in the paper."</w:t>
      </w:r>
    </w:p>
    <w:p>
      <w:pPr>
        <w:pStyle w:val="QABody"/>
      </w:pPr>
      <w:r>
        <w:t>Admissibility would require our heuristics to never overestimate the true remaining cost. Because they are domain-specific calibrations tuned to execution risk — not worst-case bounds — they can overestimate, meaning A* may not return the globally optimal path. We accept that trade-off deliberately. In real-time arbitrage, finding a good executable path quickly is more valuable than proving it is optimal. The fact that h₂ matches Dijkstra's profit within 1% across 7,200 instances suggests the practical cost of inadmissibility is negligible in this domain.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Q4 — "What are the main limitations of this work?"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"Three honest ones: centralized exchanges only, planning not live execution, and heuristic weights require domain tuning."</w:t>
      </w:r>
    </w:p>
    <w:p>
      <w:pPr>
        <w:pStyle w:val="QABody"/>
      </w:pPr>
      <w:r>
        <w:t>First, this is a CEX-only study — the extension to decentralized exchanges and AMMs is future work. Second, our system is a path planner: it finds routes in simulation but does not place live orders. Bridging the planning-execution gap — handling partial fills, order rejections, and race conditions — is a significant open problem. Third, the lambda parameters in our heuristics were tuned empirically on our dataset; transferring them to a different exchange set or asset class would require retuning. We acknowledge all three in the conclusion.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Q5 — "How do you handle the problem of stale market quotes?"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"We ran a dedicated experiment: 99.6% of found paths remain profitable after two minutes, which defines a practical execution window."</w:t>
      </w:r>
    </w:p>
    <w:p>
      <w:pPr>
        <w:pStyle w:val="QABody"/>
      </w:pPr>
      <w:r>
        <w:t>After finding a profitable path, we re-evaluated it using fresh market data at delays of 5, 30, 60, 120, and 300 seconds. Up to 120 seconds, 99.6% of paths remained profitable. Beyond 120 seconds the success rate begins to degrade — which tells us something real about how long these discrepancies persist. For a practitioner, this gives a concrete answer: act within two minutes of path discovery for near-certain profitability.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Q6 — "Your paper shows 56.7% success on the cached graph. But you said every run found a profitable path?"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"Those are two different experiments — good catch."</w:t>
      </w:r>
    </w:p>
    <w:p>
      <w:pPr>
        <w:pStyle w:val="QABody"/>
      </w:pPr>
      <w:r>
        <w:t>The 56.7% figure is from the cached-graph study: we tested thirty fixed starting nodes, and 17 of them had a profitable path reachable from that specific starting point. Not every starting node in the network has an arbitrage opportunity — the market may simply not be in a state where a profitable path exists from node X. The overnight campaign is different: we ran 7,200 searches with varied starting conditions across eight hours of live market data, and in each of those 7,200 instances, A* found a profitable path. The success rate in that setting is 100% because we were not restricted to a fixed set of potentially unprofitable starting nodes.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Q7 — "Could a system like this be used for market manipulation?"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"Arbitrage is generally market-stabilizing — it pushes prices toward equilibrium across venues, not away from it."</w:t>
      </w:r>
    </w:p>
    <w:p>
      <w:pPr>
        <w:pStyle w:val="QABody"/>
      </w:pPr>
      <w:r>
        <w:t>Our system finds naturally occurring price discrepancies between independent exchanges. It does not place orders that move prices in a coordinated way, and the capital scale we test — $1,000 to $100,000 — is orders of magnitude below what would be required to meaningfully influence a market with $300 billion in capitalization. Arbitrage is broadly considered a stabilizing force: buying cheap and selling dear drives prices toward convergence. The research is intended as a planning and analysis framework, not a deployment-ready trading system.</w:t>
      </w:r>
    </w:p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r>
        <w:br w:type="page"/>
      </w:r>
    </w:p>
    <w:p>
      <w:pPr>
        <w:pStyle w:val="Heading2"/>
      </w:pPr>
      <w:r>
        <w:t>Timing Reference (v2 — 13 slides)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</w:tblGrid>
      <w:tr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Slide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Target end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Running total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Hook — Title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0:50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0:50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The Market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1:35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1:35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Price Fragmentation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2:00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2:00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Execution Barriers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2:50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2:50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Baselines Fail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3:10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3:10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The Dataset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3:40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3:40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A* Method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4:20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4:20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Three Heuristics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5:10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5:10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Key Result (−29%)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5:40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5:40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Profit Quality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6:00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6:00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Overnight Campaign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6:22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6:22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Execution Window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6:38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6:38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Why It Matters + Close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8:00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8:00</w:t>
            </w:r>
          </w:p>
        </w:tc>
      </w:tr>
    </w:tbl>
    <w:p/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t>What Changed Script → v3 (alignment with slides_v2.pptx)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5904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5904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Added S3 dialogue (Price Fragmentation)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New slide in v2 had no script words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Added S5 dialogue (Baselines Fail)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New slide in v2 had no script words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Split old Slide 7 Result → S9 + S10 + S11 + S12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Old slide had 4 distinct data points crammed into one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Removed standalone Impact slide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Content folded into S13 Close (Impact + callback combined)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Added S10 dialogue (Profit Quality, 20s)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fig03/fig02 added in v2 but unscripted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Added S11 dialogue (Overnight, 22s)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fig10/fig11 added in v2 but unscripted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Added S12 dialogue (Staleness, 16s)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fig09 added in v2 but unscripted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Expanded S13 to include Impact framing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Replaced standalone Slide 8 from old script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Updated all timing markers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9→13 slides, same 8-minute target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Updated Visual Guide table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Now 13-row table matching v2 slide names</w:t>
            </w:r>
          </w:p>
        </w:tc>
      </w:tr>
    </w:tbl>
    <w:p/>
    <w:sectPr w:rsidR="00FC693F" w:rsidRPr="0006063C" w:rsidSect="00034616">
      <w:pgSz w:w="12240" w:h="15840"/>
      <w:pgMar w:top="1440" w:right="316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Header">
    <w:name w:val="SlideHeader"/>
    <w:basedOn w:val="Normal"/>
    <w:pPr>
      <w:spacing w:before="360" w:after="80"/>
    </w:pPr>
    <w:rPr>
      <w:rFonts w:ascii="Arial" w:hAnsi="Arial"/>
      <w:b/>
      <w:i w:val="0"/>
      <w:color w:val="CC0633"/>
      <w:sz w:val="32"/>
    </w:rPr>
  </w:style>
  <w:style w:type="paragraph" w:customStyle="1" w:styleId="Spoken">
    <w:name w:val="Spoken"/>
    <w:basedOn w:val="Normal"/>
    <w:pPr>
      <w:spacing w:before="80" w:after="120"/>
      <w:ind w:left="432"/>
    </w:pPr>
    <w:rPr>
      <w:rFonts w:ascii="Georgia" w:hAnsi="Georgia"/>
      <w:b w:val="0"/>
      <w:i/>
      <w:color w:val="1A1A2E"/>
      <w:sz w:val="24"/>
    </w:rPr>
  </w:style>
  <w:style w:type="paragraph" w:customStyle="1" w:styleId="Direction">
    <w:name w:val="Direction"/>
    <w:basedOn w:val="Normal"/>
    <w:pPr>
      <w:spacing w:before="40" w:after="40"/>
      <w:ind w:left="432"/>
    </w:pPr>
    <w:rPr>
      <w:rFonts w:ascii="Arial" w:hAnsi="Arial"/>
      <w:b w:val="0"/>
      <w:i/>
      <w:color w:val="888888"/>
      <w:sz w:val="20"/>
    </w:rPr>
  </w:style>
  <w:style w:type="paragraph" w:customStyle="1" w:styleId="PauseBeat">
    <w:name w:val="PauseBeat"/>
    <w:basedOn w:val="Normal"/>
    <w:pPr>
      <w:spacing w:before="40" w:after="40"/>
      <w:ind w:left="432"/>
    </w:pPr>
    <w:rPr>
      <w:rFonts w:ascii="Arial" w:hAnsi="Arial"/>
      <w:b/>
      <w:i w:val="0"/>
      <w:color w:val="2277CC"/>
      <w:sz w:val="20"/>
    </w:rPr>
  </w:style>
  <w:style w:type="paragraph" w:customStyle="1" w:styleId="Visual">
    <w:name w:val="Visual"/>
    <w:basedOn w:val="Normal"/>
    <w:pPr>
      <w:spacing w:before="40" w:after="120"/>
      <w:ind w:left="432"/>
    </w:pPr>
    <w:rPr>
      <w:rFonts w:ascii="Arial" w:hAnsi="Arial"/>
      <w:b w:val="0"/>
      <w:i w:val="0"/>
      <w:color w:val="6D4000"/>
      <w:sz w:val="20"/>
    </w:rPr>
  </w:style>
  <w:style w:type="paragraph" w:customStyle="1" w:styleId="SlideCue">
    <w:name w:val="SlideCue"/>
    <w:basedOn w:val="Normal"/>
    <w:pPr>
      <w:spacing w:before="40" w:after="80"/>
      <w:ind w:left="432"/>
    </w:pPr>
    <w:rPr>
      <w:rFonts w:ascii="Courier New" w:hAnsi="Courier New"/>
      <w:b w:val="0"/>
      <w:i w:val="0"/>
      <w:color w:val="444444"/>
      <w:sz w:val="18"/>
    </w:rPr>
  </w:style>
  <w:style w:type="paragraph" w:customStyle="1" w:styleId="QAHeader">
    <w:name w:val="QAHeader"/>
    <w:basedOn w:val="Normal"/>
    <w:pPr>
      <w:spacing w:before="280" w:after="80"/>
    </w:pPr>
    <w:rPr>
      <w:rFonts w:ascii="Arial" w:hAnsi="Arial"/>
      <w:b/>
      <w:i w:val="0"/>
      <w:color w:val="1B5E20"/>
      <w:sz w:val="26"/>
    </w:rPr>
  </w:style>
  <w:style w:type="paragraph" w:customStyle="1" w:styleId="QAOpener">
    <w:name w:val="QAOpener"/>
    <w:basedOn w:val="Normal"/>
    <w:pPr>
      <w:spacing w:before="40" w:after="40"/>
      <w:ind w:left="432"/>
    </w:pPr>
    <w:rPr>
      <w:rFonts w:ascii="Arial" w:hAnsi="Arial"/>
      <w:b/>
      <w:i w:val="0"/>
      <w:color w:val="1B5E20"/>
      <w:sz w:val="20"/>
    </w:rPr>
  </w:style>
  <w:style w:type="paragraph" w:customStyle="1" w:styleId="QABody">
    <w:name w:val="QABody"/>
    <w:basedOn w:val="Normal"/>
    <w:pPr>
      <w:spacing w:before="40" w:after="160"/>
      <w:ind w:left="432"/>
    </w:pPr>
    <w:rPr>
      <w:rFonts w:ascii="Arial" w:hAnsi="Arial"/>
      <w:b w:val="0"/>
      <w:i w:val="0"/>
      <w:color w:val="1A1A2E"/>
      <w:sz w:val="22"/>
    </w:rPr>
  </w:style>
  <w:style w:type="paragraph" w:customStyle="1" w:styleId="Note">
    <w:name w:val="Note"/>
    <w:basedOn w:val="Normal"/>
    <w:pPr>
      <w:spacing w:before="80" w:after="80"/>
    </w:pPr>
    <w:rPr>
      <w:rFonts w:ascii="Arial" w:hAnsi="Arial"/>
      <w:b w:val="0"/>
      <w:i/>
      <w:color w:val="88888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