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25f09dfa878589ca89075ada2bd967f31562558"/>
    <w:p>
      <w:pPr>
        <w:pStyle w:val="Heading1"/>
      </w:pPr>
      <w:r>
        <w:t xml:space="preserve">Amina and Farouk: Can a Muslim Marriage Still Be Dissolved by Talaq After the Divorce Amendment Act 1 of 2024?</w:t>
      </w:r>
    </w:p>
    <w:bookmarkStart w:id="20" w:name="family-law-exam-answer-model-essay"/>
    <w:p>
      <w:pPr>
        <w:pStyle w:val="Heading2"/>
      </w:pPr>
      <w:r>
        <w:t xml:space="preserve">Family Law Exam Answer (Model Essay)</w:t>
      </w:r>
    </w:p>
    <w:p>
      <w:r>
        <w:pict>
          <v:rect style="width:0;height:1.5pt" o:hralign="center" o:hrstd="t" o:hr="t"/>
        </w:pict>
      </w:r>
    </w:p>
    <w:bookmarkEnd w:id="20"/>
    <w:bookmarkStart w:id="21" w:name="introduction-and-overview-of-the-issues"/>
    <w:p>
      <w:pPr>
        <w:pStyle w:val="Heading2"/>
      </w:pPr>
      <w:r>
        <w:t xml:space="preserve">1. Introduction and Overview of the Issues</w:t>
      </w:r>
    </w:p>
    <w:p>
      <w:pPr>
        <w:pStyle w:val="FirstParagraph"/>
      </w:pPr>
      <w:r>
        <w:t xml:space="preserve">Amina and Farouk concluded an Islamic marriage in Durban in 2012. It was never registered under the Marriage Act 25 of 1961 or the Civil Union Act 17 of 2006. In March 2025, after years of conflict, Farouk pronounced a talaq before two witnesses. Amina disputes its effect and remains in the marital home. Farouk now seeks a declaratory order that the talaq lawfully dissolved the marriage. Amina opposes the application on two grounds: first, that the talaq procedure is inconsistent with the Divorce Act 70 of 1979, which, as amended by the Divorce Amendment Act 1 of 2024, now governs the dissolution of Muslim marriages; and second, that permitting unilateral repudiation would violate her rights to equality and dignity.</w:t>
      </w:r>
    </w:p>
    <w:p>
      <w:pPr>
        <w:pStyle w:val="BodyText"/>
      </w:pPr>
      <w:r>
        <w:t xml:space="preserve">The dispute raises four questions. The first is a question of statutory interpretation: does the amended Divorce Act require a court decree for the dissolution of a Muslim marriage, or may a talaq still terminate it? The second is constitutional: can unilateral talaq be reconciled with ss 9, 10, 15, 28 and 34 of the Constitution of the Republic of South Africa, 1996? The third is doctrinal and practical: what difficulties do academic writers identify in reconciling Islamic family law with a secular, rights-based divorce regime? The fourth calls for a reasoned conclusion on how courts should interpret the new provisions so as to promote legal certainty and constitutional values.</w:t>
      </w:r>
    </w:p>
    <w:p>
      <w:pPr>
        <w:pStyle w:val="BodyText"/>
      </w:pPr>
      <w:r>
        <w:t xml:space="preserve">My thesis is as follows. Since the Divorce Amendment Act 1 of 2024, a Muslim marriage can be dissolved in South African civil law only by a decree of divorce granted by a court. A talaq may be religiously significant, and the parties are free to treat it as such, but it has no civil effect on the status of the marriage. Farouk’s application for a declaratory order should therefore be refused. The court should instead treat his repudiation as evidence of irretrievable breakdown and direct the matter into the Divorce Act process, which protects Amina and any children through the Act’s ancillary provisions. That approach honours the language and purpose of the Act, vindicates the constitutional values that prompted the reform, and still respects religious freedom by confining the court’s ruling to the civil sphere.</w:t>
      </w:r>
    </w:p>
    <w:p>
      <w:pPr>
        <w:pStyle w:val="BodyText"/>
      </w:pPr>
      <w:r>
        <w:t xml:space="preserve">A note on sources. I treat the Divorce Amendment Act 1 of 2024 as the scenario describes it, namely as bringing Muslim marriages within the Divorce Act. Section numbers and any transitional provisions of the Amendment Act should be checked against the statute. The prescribed text, J Heaton (ed)</w:t>
      </w:r>
      <w:r>
        <w:t xml:space="preserve"> </w:t>
      </w:r>
      <w:r>
        <w:rPr>
          <w:iCs/>
          <w:i/>
        </w:rPr>
        <w:t xml:space="preserve">The Law of Divorce and Dissolution of Life Partnerships in South Africa</w:t>
      </w:r>
      <w:r>
        <w:t xml:space="preserve"> </w:t>
      </w:r>
      <w:r>
        <w:t xml:space="preserve">(Juta 2014), is an edited collection: Part 1 (civil marriage and civil union, including the patrimonial chapter by Heaton herself), Part 2 (customary marriages, Himonga) and Part 3 (religious marriages, Muslim and Hindu, by N Moosa and C Rautenbach) are written by different authors, so I cite the contributing author together with the editor. The book pre-dates the</w:t>
      </w:r>
      <w:r>
        <w:t xml:space="preserve"> </w:t>
      </w:r>
      <w:r>
        <w:rPr>
          <w:iCs/>
          <w:i/>
        </w:rPr>
        <w:t xml:space="preserve">Women’s Legal Centre Trust</w:t>
      </w:r>
      <w:r>
        <w:t xml:space="preserve"> </w:t>
      </w:r>
      <w:r>
        <w:t xml:space="preserve">litigation and the 2024 amendment, so I rely on it for the settled structure of divorce law and for the pre-reform position, and on the cases and the statute for the post-reform position.</w:t>
      </w:r>
    </w:p>
    <w:p>
      <w:r>
        <w:pict>
          <v:rect style="width:0;height:1.5pt" o:hralign="center" o:hrstd="t" o:hr="t"/>
        </w:pict>
      </w:r>
    </w:p>
    <w:bookmarkEnd w:id="21"/>
    <w:bookmarkStart w:id="25" w:name="X0599838610c09c725d13ffbfeacd35a98e2d25b"/>
    <w:p>
      <w:pPr>
        <w:pStyle w:val="Heading2"/>
      </w:pPr>
      <w:r>
        <w:t xml:space="preserve">2. Background: The Legal Status of Muslim Marriages Before the Reform</w:t>
      </w:r>
    </w:p>
    <w:bookmarkStart w:id="22" w:name="non-recognition"/>
    <w:p>
      <w:pPr>
        <w:pStyle w:val="Heading3"/>
      </w:pPr>
      <w:r>
        <w:t xml:space="preserve">2.1 Non-recognition</w:t>
      </w:r>
    </w:p>
    <w:p>
      <w:pPr>
        <w:pStyle w:val="FirstParagraph"/>
      </w:pPr>
      <w:r>
        <w:t xml:space="preserve">At common law a marriage is dissolved only by the death of a spouse or by a court decree of divorce (see Part 1 of J Heaton (ed)</w:t>
      </w:r>
      <w:r>
        <w:t xml:space="preserve"> </w:t>
      </w:r>
      <w:r>
        <w:rPr>
          <w:iCs/>
          <w:i/>
        </w:rPr>
        <w:t xml:space="preserve">The Law of Divorce and Dissolution of Life Partnerships in South Africa</w:t>
      </w:r>
      <w:r>
        <w:t xml:space="preserve"> </w:t>
      </w:r>
      <w:r>
        <w:t xml:space="preserve">(Juta 2014) on the Divorce Act; pinpoint to be added from your copy). Islamic marriages were for most of the twentieth century not regarded as valid marriages. Courts refused them recognition on the ground that they were potentially polygynous and so contrary to the</w:t>
      </w:r>
      <w:r>
        <w:t xml:space="preserve"> </w:t>
      </w:r>
      <w:r>
        <w:rPr>
          <w:iCs/>
          <w:i/>
        </w:rPr>
        <w:t xml:space="preserve">boni mores</w:t>
      </w:r>
      <w:r>
        <w:t xml:space="preserve"> </w:t>
      </w:r>
      <w:r>
        <w:t xml:space="preserve">of a monogamous society:</w:t>
      </w:r>
      <w:r>
        <w:t xml:space="preserve"> </w:t>
      </w:r>
      <w:r>
        <w:rPr>
          <w:iCs/>
          <w:i/>
        </w:rPr>
        <w:t xml:space="preserve">Seedat’s Executors v The Master (Natal)</w:t>
      </w:r>
      <w:r>
        <w:t xml:space="preserve"> </w:t>
      </w:r>
      <w:r>
        <w:t xml:space="preserve">1917 AD 302;</w:t>
      </w:r>
      <w:r>
        <w:t xml:space="preserve"> </w:t>
      </w:r>
      <w:r>
        <w:rPr>
          <w:iCs/>
          <w:i/>
        </w:rPr>
        <w:t xml:space="preserve">Ismail v Ismail</w:t>
      </w:r>
      <w:r>
        <w:t xml:space="preserve"> </w:t>
      </w:r>
      <w:r>
        <w:t xml:space="preserve">1983 (1) SA 1006 (A). The consequence was that parties to an Islamic marriage, overwhelmingly women, had no access to the Divorce Act, and with it no statutory entitlement to maintenance after divorce, no redistribution of assets, and no judicial supervision of arrangements for children.</w:t>
      </w:r>
    </w:p>
    <w:bookmarkEnd w:id="22"/>
    <w:bookmarkStart w:id="23" w:name="incremental-judicial-recognition"/>
    <w:p>
      <w:pPr>
        <w:pStyle w:val="Heading3"/>
      </w:pPr>
      <w:r>
        <w:t xml:space="preserve">2.2 Incremental judicial recognition</w:t>
      </w:r>
    </w:p>
    <w:p>
      <w:pPr>
        <w:pStyle w:val="FirstParagraph"/>
      </w:pPr>
      <w:r>
        <w:t xml:space="preserve">The courts began to soften this position, especially after 1994. In</w:t>
      </w:r>
      <w:r>
        <w:t xml:space="preserve"> </w:t>
      </w:r>
      <w:r>
        <w:rPr>
          <w:iCs/>
          <w:i/>
        </w:rPr>
        <w:t xml:space="preserve">Ryland v Edros</w:t>
      </w:r>
      <w:r>
        <w:t xml:space="preserve"> </w:t>
      </w:r>
      <w:r>
        <w:t xml:space="preserve">1997 (2) SA 690 (C), the court held that the contractual obligations in a Muslim marriage could be enforced and that the public-policy objection to polygyny no longer held under constitutional values.</w:t>
      </w:r>
      <w:r>
        <w:t xml:space="preserve"> </w:t>
      </w:r>
      <w:r>
        <w:rPr>
          <w:iCs/>
          <w:i/>
        </w:rPr>
        <w:t xml:space="preserve">Amod v Multilateral Motor Vehicle Accidents Fund</w:t>
      </w:r>
      <w:r>
        <w:t xml:space="preserve"> </w:t>
      </w:r>
      <w:r>
        <w:t xml:space="preserve">1999 (4) SA 1319 (SCA) recognised the duty of support arising from an Islamic marriage for purposes of a dependant’s claim.</w:t>
      </w:r>
      <w:r>
        <w:t xml:space="preserve"> </w:t>
      </w:r>
      <w:r>
        <w:rPr>
          <w:iCs/>
          <w:i/>
        </w:rPr>
        <w:t xml:space="preserve">Khan v Khan</w:t>
      </w:r>
      <w:r>
        <w:t xml:space="preserve"> </w:t>
      </w:r>
      <w:r>
        <w:t xml:space="preserve">2005 (2) SA 272 (T) awarded a Muslim wife relief by way of maintenance. In</w:t>
      </w:r>
      <w:r>
        <w:t xml:space="preserve"> </w:t>
      </w:r>
      <w:r>
        <w:rPr>
          <w:iCs/>
          <w:i/>
        </w:rPr>
        <w:t xml:space="preserve">Daniels v Campbell NO</w:t>
      </w:r>
      <w:r>
        <w:t xml:space="preserve"> </w:t>
      </w:r>
      <w:r>
        <w:t xml:space="preserve">2004 (5) SA 331 (CC) and</w:t>
      </w:r>
      <w:r>
        <w:t xml:space="preserve"> </w:t>
      </w:r>
      <w:r>
        <w:rPr>
          <w:iCs/>
          <w:i/>
        </w:rPr>
        <w:t xml:space="preserve">Hassam v Jacobs NO</w:t>
      </w:r>
      <w:r>
        <w:t xml:space="preserve"> </w:t>
      </w:r>
      <w:r>
        <w:t xml:space="preserve">2009 (5) SA 572 (CC), the Constitutional Court held that the word</w:t>
      </w:r>
      <w:r>
        <w:t xml:space="preserve"> </w:t>
      </w:r>
      <w:r>
        <w:t xml:space="preserve">“</w:t>
      </w:r>
      <w:r>
        <w:t xml:space="preserve">spouse</w:t>
      </w:r>
      <w:r>
        <w:t xml:space="preserve">”</w:t>
      </w:r>
      <w:r>
        <w:t xml:space="preserve"> </w:t>
      </w:r>
      <w:r>
        <w:t xml:space="preserve">in the Intestate Succession Act 81 of 1987 and the Maintenance of Surviving Spouses Act 27 of 1990 includes parties to a monogamous and, in</w:t>
      </w:r>
      <w:r>
        <w:t xml:space="preserve"> </w:t>
      </w:r>
      <w:r>
        <w:rPr>
          <w:iCs/>
          <w:i/>
        </w:rPr>
        <w:t xml:space="preserve">Hassam</w:t>
      </w:r>
      <w:r>
        <w:t xml:space="preserve">, a polygynous Muslim marriage. These were important developments, but they were piecemeal. They protected a surviving spouse on death. They did not regulate divorce.</w:t>
      </w:r>
    </w:p>
    <w:bookmarkEnd w:id="23"/>
    <w:bookmarkStart w:id="24" w:name="the-womens-legal-centre-trust-litigation"/>
    <w:p>
      <w:pPr>
        <w:pStyle w:val="Heading3"/>
      </w:pPr>
      <w:r>
        <w:t xml:space="preserve">2.3 The</w:t>
      </w:r>
      <w:r>
        <w:t xml:space="preserve"> </w:t>
      </w:r>
      <w:r>
        <w:rPr>
          <w:iCs/>
          <w:i/>
        </w:rPr>
        <w:t xml:space="preserve">Women’s Legal Centre Trust</w:t>
      </w:r>
      <w:r>
        <w:t xml:space="preserve"> </w:t>
      </w:r>
      <w:r>
        <w:t xml:space="preserve">litigation</w:t>
      </w:r>
    </w:p>
    <w:p>
      <w:pPr>
        <w:pStyle w:val="FirstParagraph"/>
      </w:pPr>
      <w:r>
        <w:t xml:space="preserve">The gap in protection on divorce was the subject of</w:t>
      </w:r>
      <w:r>
        <w:t xml:space="preserve"> </w:t>
      </w:r>
      <w:r>
        <w:rPr>
          <w:iCs/>
          <w:i/>
        </w:rPr>
        <w:t xml:space="preserve">Women’s Legal Centre Trust v President of the Republic of South Africa</w:t>
      </w:r>
      <w:r>
        <w:t xml:space="preserve"> </w:t>
      </w:r>
      <w:r>
        <w:t xml:space="preserve">(High Court 2018, SCA 2020, Constitutional Court 2022). The courts held that the state’s failure to recognise Islamic marriages as valid marriages and to regulate their consequences, including on dissolution, infringed the rights to equality (s 9), dignity (s 10), freedom of religion (s 15), children’s best interests (s 28) and access to courts (s 34), and the state’s duty under s 7(2) to respect, protect, promote and fulfil rights. Parliament was directed to remedy the defect within a fixed period, and interim relief was granted under which the Divorce Act would apply to Muslim marriages in the meantime. The Divorce Amendment Act 1 of 2024 is the legislative response. The correct reading of the Act must therefore take account of why it exists: it is remedial legislation intended to cure the unconstitutional vulnerability of spouses in unregistered Islamic marriages.</w:t>
      </w:r>
    </w:p>
    <w:p>
      <w:r>
        <w:pict>
          <v:rect style="width:0;height:1.5pt" o:hralign="center" o:hrstd="t" o:hr="t"/>
        </w:pict>
      </w:r>
    </w:p>
    <w:bookmarkEnd w:id="24"/>
    <w:bookmarkEnd w:id="25"/>
    <w:bookmarkStart w:id="32" w:name="X2f0ce8c3fdd1364c80f1b211bfe18b5a938948f"/>
    <w:p>
      <w:pPr>
        <w:pStyle w:val="Heading2"/>
      </w:pPr>
      <w:r>
        <w:t xml:space="preserve">3. Question 1: Can a Muslim Marriage Still Be Validly Terminated by Talaq, or Is a Court Decree Now Required?</w:t>
      </w:r>
    </w:p>
    <w:bookmarkStart w:id="26" w:name="the-structure-of-the-divorce-act"/>
    <w:p>
      <w:pPr>
        <w:pStyle w:val="Heading3"/>
      </w:pPr>
      <w:r>
        <w:t xml:space="preserve">3.1 The structure of the Divorce Act</w:t>
      </w:r>
    </w:p>
    <w:p>
      <w:pPr>
        <w:pStyle w:val="FirstParagraph"/>
      </w:pPr>
      <w:r>
        <w:t xml:space="preserve">The Divorce Act is structured around judicial dissolution. Section 3 provides that a court may grant a decree of divorce. Section 4 sets out the single ground for divorce on which a decree may be granted, namely irretrievable breakdown of the marriage, which the court must find on the evidence. Sections 6 and 7 regulate the consequences: s 6 requires the court to be satisfied that satisfactory arrangements have been made for the welfare of minor or dependent children, and s 7 empowers the court to make orders on maintenance, forfeiture and, where applicable, redistribution of assets under s 7(3). Section 5A deals with religious or similar barriers to remarriage (Part 1 of Heaton (ed); on how religious marriages are treated, Moosa and Rautenbach in Part 3; pinpoints to be added). Each of these provisions assumes that a court is the dissolving authority. The decree is a judgment that alters status with effect against the world. The protective provisions of the Act are triggered only by the proceedings that produce it.</w:t>
      </w:r>
    </w:p>
    <w:p>
      <w:pPr>
        <w:pStyle w:val="BodyText"/>
      </w:pPr>
      <w:r>
        <w:t xml:space="preserve">If a husband could dissolve the marriage unilaterally and privately, all of these provisions would be avoided at his election. A wife would lose the court’s oversight of the arrangements for children, her statutory claim for maintenance, her claim to a redistribution of assets, and the opportunity to be heard on whether the marriage has in fact broken down. A statute that extends a protective regime to a class of marriages and yet leaves one party able to opt out of it unilaterally would defeat its own purpose.</w:t>
      </w:r>
    </w:p>
    <w:bookmarkEnd w:id="26"/>
    <w:bookmarkStart w:id="27" w:name="the-effect-of-the-amendment-act"/>
    <w:p>
      <w:pPr>
        <w:pStyle w:val="Heading3"/>
      </w:pPr>
      <w:r>
        <w:t xml:space="preserve">3.2 The effect of the Amendment Act</w:t>
      </w:r>
    </w:p>
    <w:p>
      <w:pPr>
        <w:pStyle w:val="FirstParagraph"/>
      </w:pPr>
      <w:r>
        <w:t xml:space="preserve">On the premise of the scenario, the Amendment Act places Muslim marriages within the Divorce Act. Four arguments support the conclusion that dissolution is by court decree alone.</w:t>
      </w:r>
    </w:p>
    <w:p>
      <w:pPr>
        <w:pStyle w:val="BodyText"/>
      </w:pPr>
      <w:r>
        <w:t xml:space="preserve">First, the text and context. A marriage that is governed by the Divorce Act is dissolved in the way the Act provides. Because the Act’s mode of dissolution is a decree under s 3 on the ground in s 4, a talaq is not a recognised mode of dissolution within the statute.</w:t>
      </w:r>
    </w:p>
    <w:p>
      <w:pPr>
        <w:pStyle w:val="BodyText"/>
      </w:pPr>
      <w:r>
        <w:t xml:space="preserve">Second, the common-law principle that only death or a court decree ends a marriage, which now applies to Muslim marriages once they are recognised. Recognition carries obligations as well as benefits: a marriage the law recognises is subject to the law’s rules on how it ends.</w:t>
      </w:r>
    </w:p>
    <w:p>
      <w:pPr>
        <w:pStyle w:val="BodyText"/>
      </w:pPr>
      <w:r>
        <w:t xml:space="preserve">Third, the purposive argument. The Amendment Act exists to cure the defects identified in</w:t>
      </w:r>
      <w:r>
        <w:t xml:space="preserve"> </w:t>
      </w:r>
      <w:r>
        <w:rPr>
          <w:iCs/>
          <w:i/>
        </w:rPr>
        <w:t xml:space="preserve">Women’s Legal Centre Trust</w:t>
      </w:r>
      <w:r>
        <w:t xml:space="preserve">. The central harm identified was that Muslim women could be divorced extra-judicially and left without recourse. An interpretation that preserved talaq as an alternative civil route to dissolution would perpetuate the very harm the Act was passed to remove. Section 39(2) of the Constitution requires courts to interpret legislation so as to promote the spirit, purport and objects of the Bill of Rights, and that points to the purposive reading.</w:t>
      </w:r>
    </w:p>
    <w:p>
      <w:pPr>
        <w:pStyle w:val="BodyText"/>
      </w:pPr>
      <w:r>
        <w:t xml:space="preserve">Fourth, the presumption against ousting the jurisdiction of the courts. A statute is not lightly read as allowing private persons to determine matters that would otherwise be determined by a court, particularly where the rights of others, here a spouse and children, are affected.</w:t>
      </w:r>
    </w:p>
    <w:bookmarkEnd w:id="27"/>
    <w:bookmarkStart w:id="28" w:name="farouks-best-arguments-and-why-they-fail"/>
    <w:p>
      <w:pPr>
        <w:pStyle w:val="Heading3"/>
      </w:pPr>
      <w:r>
        <w:t xml:space="preserve">3.3 Farouk’s best arguments and why they fail</w:t>
      </w:r>
    </w:p>
    <w:p>
      <w:pPr>
        <w:pStyle w:val="FirstParagraph"/>
      </w:pPr>
      <w:r>
        <w:t xml:space="preserve">Farouk would argue first that the Amendment Act does not expressly prohibit talaq and merely extends the Divorce Act to Muslim marriages. The answer is that the Act’s silence on talaq cannot be read as a preservation of a parallel route when the whole structure of the Act presupposes judicial dissolution. A statute need not prohibit every alternative expressly when it prescribes the way a status is to be altered.</w:t>
      </w:r>
    </w:p>
    <w:p>
      <w:pPr>
        <w:pStyle w:val="BodyText"/>
      </w:pPr>
      <w:r>
        <w:t xml:space="preserve">Second, he would invoke religious freedom under s 15 and the right of cultural, religious and linguistic communities under s 31, and point to s 15(3), which permits legislation recognising marriages concluded under any tradition. The answer is that s 15(3)(b) itself requires that such recognition be consistent with the Constitution, that s 31(2) provides that the rights of communities may not be exercised in a manner inconsistent with the Bill of Rights, and that, as I explain below, a unilateral male power of repudiation is inconsistent with ss 9 and 10.</w:t>
      </w:r>
    </w:p>
    <w:p>
      <w:pPr>
        <w:pStyle w:val="BodyText"/>
      </w:pPr>
      <w:r>
        <w:t xml:space="preserve">Third, he would say that talaq is integral to Islamic law and that the courts should not interfere with the internal rules of a religion. The answer is that the court is not asked to, and should not, decide whether the talaq is effective in Islamic law. It decides only that it does not alter civil status.</w:t>
      </w:r>
    </w:p>
    <w:bookmarkEnd w:id="28"/>
    <w:bookmarkStart w:id="29" w:name="X4e93c0c8583db4a491d9307810d4ab501b149e6"/>
    <w:p>
      <w:pPr>
        <w:pStyle w:val="Heading3"/>
      </w:pPr>
      <w:r>
        <w:t xml:space="preserve">3.4 The proper characterisation of talaq: two spheres</w:t>
      </w:r>
    </w:p>
    <w:p>
      <w:pPr>
        <w:pStyle w:val="FirstParagraph"/>
      </w:pPr>
      <w:r>
        <w:t xml:space="preserve">The correct analysis separates the religious from the civil sphere. In the religious sphere, the talaq may be effective according to the relevant school of Islamic jurisprudence, subject to its conditions, including capacity, intention, the form of pronouncement, and the waiting period (</w:t>
      </w:r>
      <w:r>
        <w:rPr>
          <w:iCs/>
          <w:i/>
        </w:rPr>
        <w:t xml:space="preserve">idda</w:t>
      </w:r>
      <w:r>
        <w:t xml:space="preserve">) during which a revocable talaq may be revoked (</w:t>
      </w:r>
      <w:r>
        <w:rPr>
          <w:iCs/>
          <w:i/>
        </w:rPr>
        <w:t xml:space="preserve">rujū’</w:t>
      </w:r>
      <w:r>
        <w:t xml:space="preserve">). The parties may regard themselves as religiously divorced, and the court should leave that question to the religious community. In the civil sphere, the marriage subsists until a court grants a decree. Amina remains Farouk’s spouse in law, with the reciprocal duty of support and all other consequences of marriage.</w:t>
      </w:r>
    </w:p>
    <w:p>
      <w:pPr>
        <w:pStyle w:val="BodyText"/>
      </w:pPr>
      <w:r>
        <w:t xml:space="preserve">Section 5A of the Divorce Act already reflects the legislature’s expectation that civil and religious divorce will interact. It allows the court, in a case where a religious barrier to remarriage exists, to decline to grant a decree unless the barrier is removed. The cases in which it has been applied, such as</w:t>
      </w:r>
      <w:r>
        <w:t xml:space="preserve"> </w:t>
      </w:r>
      <w:r>
        <w:rPr>
          <w:iCs/>
          <w:i/>
        </w:rPr>
        <w:t xml:space="preserve">Taylor v Kurstag NO</w:t>
      </w:r>
      <w:r>
        <w:t xml:space="preserve"> </w:t>
      </w:r>
      <w:r>
        <w:t xml:space="preserve">2005 (1) SA 362 (W) (a Jewish</w:t>
      </w:r>
      <w:r>
        <w:t xml:space="preserve"> </w:t>
      </w:r>
      <w:r>
        <w:rPr>
          <w:iCs/>
          <w:i/>
        </w:rPr>
        <w:t xml:space="preserve">get</w:t>
      </w:r>
      <w:r>
        <w:t xml:space="preserve">), show that religious and civil divorce are meant to be complementary and not substitutes (Heaton [chapter/page to be added]).</w:t>
      </w:r>
    </w:p>
    <w:bookmarkEnd w:id="29"/>
    <w:bookmarkStart w:id="30" w:name="procedural-considerations"/>
    <w:p>
      <w:pPr>
        <w:pStyle w:val="Heading3"/>
      </w:pPr>
      <w:r>
        <w:t xml:space="preserve">3.5 Procedural considerations</w:t>
      </w:r>
    </w:p>
    <w:p>
      <w:pPr>
        <w:pStyle w:val="FirstParagraph"/>
      </w:pPr>
      <w:r>
        <w:t xml:space="preserve">A declaratory order is sought under s 21(1)(c) of the Superior Courts Act 10 of 2013. The court has a discretion whether to grant it. It would be improper to exercise that discretion to confirm that a unilateral private act dissolved a marriage where the statute provides a different route, and where a party who has not consented, and who is prejudiced by the declaration, opposes it. The declarator should be refused.</w:t>
      </w:r>
    </w:p>
    <w:p>
      <w:pPr>
        <w:pStyle w:val="BodyText"/>
      </w:pPr>
      <w:r>
        <w:t xml:space="preserve">Amina’s continued occupation of the home is also protected. Section 26(3) of the Constitution provides that no one may be evicted from their home, or have their home demolished, without an order of court made after considering all the relevant circumstances. A talaq cannot oust her.</w:t>
      </w:r>
    </w:p>
    <w:bookmarkEnd w:id="30"/>
    <w:bookmarkStart w:id="31" w:name="conclusion-on-question-1"/>
    <w:p>
      <w:pPr>
        <w:pStyle w:val="Heading3"/>
      </w:pPr>
      <w:r>
        <w:t xml:space="preserve">3.6 Conclusion on Question 1</w:t>
      </w:r>
    </w:p>
    <w:p>
      <w:pPr>
        <w:pStyle w:val="FirstParagraph"/>
      </w:pPr>
      <w:r>
        <w:t xml:space="preserve">A Muslim marriage can no longer be terminated for civil purposes by talaq alone. A court decree under the Divorce Act is required. The talaq is without civil effect, although the parties may regard it as religiously effective.</w:t>
      </w:r>
    </w:p>
    <w:p>
      <w:r>
        <w:pict>
          <v:rect style="width:0;height:1.5pt" o:hralign="center" o:hrstd="t" o:hr="t"/>
        </w:pict>
      </w:r>
    </w:p>
    <w:bookmarkEnd w:id="31"/>
    <w:bookmarkEnd w:id="32"/>
    <w:bookmarkStart w:id="41" w:name="X2717972edd21da57323f88139dab7ae5eb4f8d4"/>
    <w:p>
      <w:pPr>
        <w:pStyle w:val="Heading2"/>
      </w:pPr>
      <w:r>
        <w:t xml:space="preserve">4. Question 2: The Constitutional Implications of Permitting Unilateral Talaq</w:t>
      </w:r>
    </w:p>
    <w:bookmarkStart w:id="33" w:name="equality-s-9"/>
    <w:p>
      <w:pPr>
        <w:pStyle w:val="Heading3"/>
      </w:pPr>
      <w:r>
        <w:t xml:space="preserve">4.1 Equality (s 9)</w:t>
      </w:r>
    </w:p>
    <w:p>
      <w:pPr>
        <w:pStyle w:val="FirstParagraph"/>
      </w:pPr>
      <w:r>
        <w:t xml:space="preserve">Classical talaq is a power vested in the husband. A wife has no equivalent unilateral power of repudiation. She must proceed by agreement with the husband (</w:t>
      </w:r>
      <w:r>
        <w:rPr>
          <w:iCs/>
          <w:i/>
        </w:rPr>
        <w:t xml:space="preserve">khula</w:t>
      </w:r>
      <w:r>
        <w:t xml:space="preserve">, usually involving return of the dowry or</w:t>
      </w:r>
      <w:r>
        <w:t xml:space="preserve"> </w:t>
      </w:r>
      <w:r>
        <w:rPr>
          <w:iCs/>
          <w:i/>
        </w:rPr>
        <w:t xml:space="preserve">mahr</w:t>
      </w:r>
      <w:r>
        <w:t xml:space="preserve">) or by applying to a religious authority for judicial dissolution (</w:t>
      </w:r>
      <w:r>
        <w:rPr>
          <w:iCs/>
          <w:i/>
        </w:rPr>
        <w:t xml:space="preserve">faskh</w:t>
      </w:r>
      <w:r>
        <w:t xml:space="preserve">), for example to the Muslim Judicial Council or a similar body. This is differentiation on the grounds of sex, gender and religion, all listed grounds under s 9(3), and discrimination on a listed ground is presumed to be unfair under s 9(5). Applying the test in</w:t>
      </w:r>
      <w:r>
        <w:t xml:space="preserve"> </w:t>
      </w:r>
      <w:r>
        <w:rPr>
          <w:iCs/>
          <w:i/>
        </w:rPr>
        <w:t xml:space="preserve">Harksen v Lane NO</w:t>
      </w:r>
      <w:r>
        <w:t xml:space="preserve"> </w:t>
      </w:r>
      <w:r>
        <w:t xml:space="preserve">1998 (1) SA 300 (CC), the differentiation affects a group that has historically been disadvantaged, impairs the fundamental dignity of the persons affected, and cannot be justified as fair, since it leaves the wife without a say in the termination of the marriage. As</w:t>
      </w:r>
      <w:r>
        <w:t xml:space="preserve"> </w:t>
      </w:r>
      <w:r>
        <w:rPr>
          <w:iCs/>
          <w:i/>
        </w:rPr>
        <w:t xml:space="preserve">President of the Republic of South Africa v Hugo</w:t>
      </w:r>
      <w:r>
        <w:t xml:space="preserve"> </w:t>
      </w:r>
      <w:r>
        <w:t xml:space="preserve">1997 (4) SA 1 (CC) emphasises, the court must consider the impact on the group affected, and here it is women who bear the economic and social consequences.</w:t>
      </w:r>
    </w:p>
    <w:p>
      <w:pPr>
        <w:pStyle w:val="BodyText"/>
      </w:pPr>
      <w:r>
        <w:t xml:space="preserve">The Constitutional Court has repeatedly refused to preserve gender inequality in a marriage regime merely because it is rooted in custom or religion. In</w:t>
      </w:r>
      <w:r>
        <w:t xml:space="preserve"> </w:t>
      </w:r>
      <w:r>
        <w:rPr>
          <w:iCs/>
          <w:i/>
        </w:rPr>
        <w:t xml:space="preserve">Bhe v Magistrate, Khayelitsha</w:t>
      </w:r>
      <w:r>
        <w:t xml:space="preserve"> </w:t>
      </w:r>
      <w:r>
        <w:t xml:space="preserve">2005 (1) SA 580 (CC) it struck down male primogeniture. In</w:t>
      </w:r>
      <w:r>
        <w:t xml:space="preserve"> </w:t>
      </w:r>
      <w:r>
        <w:rPr>
          <w:iCs/>
          <w:i/>
        </w:rPr>
        <w:t xml:space="preserve">Gumede v President of the Republic of South Africa</w:t>
      </w:r>
      <w:r>
        <w:t xml:space="preserve"> </w:t>
      </w:r>
      <w:r>
        <w:t xml:space="preserve">2009 (3) SA 152 (CC) it held that the property regime of customary marriages discriminated unfairly against women. In</w:t>
      </w:r>
      <w:r>
        <w:t xml:space="preserve"> </w:t>
      </w:r>
      <w:r>
        <w:rPr>
          <w:iCs/>
          <w:i/>
        </w:rPr>
        <w:t xml:space="preserve">Mayelane v Ngwenyama</w:t>
      </w:r>
      <w:r>
        <w:t xml:space="preserve"> </w:t>
      </w:r>
      <w:r>
        <w:t xml:space="preserve">2013 (4) SA 415 (CC) it held that a second customary marriage is invalid unless the first wife has been given a say, reasoning that a status-altering act affecting a spouse cannot be completed without her participation. The same reasoning applies to the dissolution of a marriage by one spouse acting alone.</w:t>
      </w:r>
    </w:p>
    <w:bookmarkEnd w:id="33"/>
    <w:bookmarkStart w:id="34" w:name="dignity-s-10"/>
    <w:p>
      <w:pPr>
        <w:pStyle w:val="Heading3"/>
      </w:pPr>
      <w:r>
        <w:t xml:space="preserve">4.2 Dignity (s 10)</w:t>
      </w:r>
    </w:p>
    <w:p>
      <w:pPr>
        <w:pStyle w:val="FirstParagraph"/>
      </w:pPr>
      <w:r>
        <w:t xml:space="preserve">To be repudiated without a hearing, without notice, and without reasons, treats a wife as the object of a unilateral decision rather than an equal partner. The consequences are practical as well as symbolic. They include loss of the home, loss of support, uncertainty about the division of property, and exclusion from decisions about the children. The Constitutional Court has described dignity as a founding value that informs the interpretation of all other rights. A mode of dissolution that denies one spouse any voice is difficult to reconcile with it.</w:t>
      </w:r>
    </w:p>
    <w:bookmarkEnd w:id="34"/>
    <w:bookmarkStart w:id="35" w:name="X3782be7700e7048cfcf617abc0cd1b6e74238db"/>
    <w:p>
      <w:pPr>
        <w:pStyle w:val="Heading3"/>
      </w:pPr>
      <w:r>
        <w:t xml:space="preserve">4.3 Access to courts (s 34), best interests of the child (s 28) and the rule of law (s 1(c))</w:t>
      </w:r>
    </w:p>
    <w:p>
      <w:pPr>
        <w:pStyle w:val="FirstParagraph"/>
      </w:pPr>
      <w:r>
        <w:t xml:space="preserve">Section 34 gives everyone the right to have a dispute that can be resolved by the application of law decided in a fair public hearing before a court. A unilateral talaq effects an extra-judicial change of status with no forum for the affected spouse to contest it. Section 28(2) requires that a child’s best interests are of paramount importance in every matter concerning the child. A talaq makes no provision for care, contact or maintenance of children, whereas s 6 of the Divorce Act requires the court to be satisfied that satisfactory arrangements have been made. Legal certainty, an element of the rule of law, is also at stake. The termination of a marriage is a status question that affects inheritance, pension and medical-scheme benefits, and the position of third parties. A private act without any public record produces uncertainty on all of these.</w:t>
      </w:r>
    </w:p>
    <w:bookmarkEnd w:id="35"/>
    <w:bookmarkStart w:id="36" w:name="Xfb14e6420a96db3e814081a4bb4fd461b1ae91b"/>
    <w:p>
      <w:pPr>
        <w:pStyle w:val="Heading3"/>
      </w:pPr>
      <w:r>
        <w:t xml:space="preserve">4.4 Freedom of religion (s 15) and cultural and religious communities (s 31)</w:t>
      </w:r>
    </w:p>
    <w:p>
      <w:pPr>
        <w:pStyle w:val="FirstParagraph"/>
      </w:pPr>
      <w:r>
        <w:t xml:space="preserve">Farouk’s strongest constitutional argument is religious freedom. The right is real and the Constitutional Court takes it seriously. In</w:t>
      </w:r>
      <w:r>
        <w:t xml:space="preserve"> </w:t>
      </w:r>
      <w:r>
        <w:rPr>
          <w:iCs/>
          <w:i/>
        </w:rPr>
        <w:t xml:space="preserve">Christian Education South Africa v Minister of Education</w:t>
      </w:r>
      <w:r>
        <w:t xml:space="preserve"> </w:t>
      </w:r>
      <w:r>
        <w:t xml:space="preserve">2000 (4) SA 757 (CC) it recognised the importance of religious practice to the believer’s identity. In</w:t>
      </w:r>
      <w:r>
        <w:t xml:space="preserve"> </w:t>
      </w:r>
      <w:r>
        <w:rPr>
          <w:iCs/>
          <w:i/>
        </w:rPr>
        <w:t xml:space="preserve">Prince v President, Cape Law Society</w:t>
      </w:r>
      <w:r>
        <w:t xml:space="preserve"> </w:t>
      </w:r>
      <w:r>
        <w:t xml:space="preserve">2002 (2) SA 794 (CC) the court was divided on the need for an exemption for a religious practice, and in</w:t>
      </w:r>
      <w:r>
        <w:t xml:space="preserve"> </w:t>
      </w:r>
      <w:r>
        <w:rPr>
          <w:iCs/>
          <w:i/>
        </w:rPr>
        <w:t xml:space="preserve">MEC for Education, KwaZulu-Natal v Pillay</w:t>
      </w:r>
      <w:r>
        <w:t xml:space="preserve"> </w:t>
      </w:r>
      <w:r>
        <w:t xml:space="preserve">2008 (1) SA 474 (CC) it recognised the value of accommodating religious expression. Section 15(3) contemplates the recognition of marriages concluded under any tradition or system of religious, personal or family law.</w:t>
      </w:r>
    </w:p>
    <w:p>
      <w:pPr>
        <w:pStyle w:val="BodyText"/>
      </w:pPr>
      <w:r>
        <w:t xml:space="preserve">These provisions do not, however, give the believer the power to impose on another person the civil consequences of a religious act. Section 15(3)(b) says that recognition must be consistent with the other provisions of the Constitution. Section 31(2) says the rights of members of religious communities may not be exercised in a manner inconsistent with any provision of the Bill of Rights. The right to practise one’s religion does not include the right to alter another person’s civil status without her participation.</w:t>
      </w:r>
    </w:p>
    <w:bookmarkEnd w:id="36"/>
    <w:bookmarkStart w:id="37" w:name="limitation-analysis-s-36"/>
    <w:p>
      <w:pPr>
        <w:pStyle w:val="Heading3"/>
      </w:pPr>
      <w:r>
        <w:t xml:space="preserve">4.5 Limitation analysis (s 36)</w:t>
      </w:r>
    </w:p>
    <w:p>
      <w:pPr>
        <w:pStyle w:val="FirstParagraph"/>
      </w:pPr>
      <w:r>
        <w:t xml:space="preserve">If requiring a court decree limits Farouk’s religious freedom, the limitation is justifiable under s 36. The purpose, protecting equality and dignity and shielding spouses and children from the economic and social consequences of arbitrary repudiation, is compelling and was the very purpose identified in</w:t>
      </w:r>
      <w:r>
        <w:t xml:space="preserve"> </w:t>
      </w:r>
      <w:r>
        <w:rPr>
          <w:iCs/>
          <w:i/>
        </w:rPr>
        <w:t xml:space="preserve">Women’s Legal Centre Trust</w:t>
      </w:r>
      <w:r>
        <w:t xml:space="preserve">. The relation between the limitation and its purpose is rational and close: requiring a decree directly secures the protection. There is no less restrictive means that achieves the same purpose, since a regime that permitted talaq without judicial involvement would leave the vulnerability intact. The extent of the limitation is also modest. Farouk keeps his religious liberty. He may regard the talaq as religiously effective. Only its civil effect is withheld.</w:t>
      </w:r>
    </w:p>
    <w:bookmarkEnd w:id="37"/>
    <w:bookmarkStart w:id="38" w:name="X61b169693b4fac15194910ab454263001fffdf6"/>
    <w:p>
      <w:pPr>
        <w:pStyle w:val="Heading3"/>
      </w:pPr>
      <w:r>
        <w:t xml:space="preserve">4.6 Horizontal application and the state’s duty</w:t>
      </w:r>
    </w:p>
    <w:p>
      <w:pPr>
        <w:pStyle w:val="FirstParagraph"/>
      </w:pPr>
      <w:r>
        <w:t xml:space="preserve">The dispute is between private parties, but s 8(2) applies the Bill of Rights to private persons to the extent that it is applicable, taking into account the nature of the right and the nature of any duty imposed by it, and s 8(3) requires courts to develop the common law to give effect to rights. The state also has a positive duty under s 7(2). The</w:t>
      </w:r>
      <w:r>
        <w:t xml:space="preserve"> </w:t>
      </w:r>
      <w:r>
        <w:rPr>
          <w:iCs/>
          <w:i/>
        </w:rPr>
        <w:t xml:space="preserve">Women’s Legal Centre Trust</w:t>
      </w:r>
      <w:r>
        <w:t xml:space="preserve"> </w:t>
      </w:r>
      <w:r>
        <w:t xml:space="preserve">judgments recognised that this duty requires the state to regulate Muslim marriages so as to protect women. Interpreting the Amendment Act to require judicial dissolution gives effect to that duty.</w:t>
      </w:r>
    </w:p>
    <w:bookmarkEnd w:id="38"/>
    <w:bookmarkStart w:id="39" w:name="international-and-comparative-material"/>
    <w:p>
      <w:pPr>
        <w:pStyle w:val="Heading3"/>
      </w:pPr>
      <w:r>
        <w:t xml:space="preserve">4.7 International and comparative material</w:t>
      </w:r>
    </w:p>
    <w:p>
      <w:pPr>
        <w:pStyle w:val="FirstParagraph"/>
      </w:pPr>
      <w:r>
        <w:t xml:space="preserve">Section 39(1)(b) requires courts to consider international law. Article 16 of the Convention on the Elimination of All Forms of Discrimination against Women requires equal rights in marriage and at its dissolution. Comparative law shows that restricting talaq is compatible with Islamic jurisprudence. In</w:t>
      </w:r>
      <w:r>
        <w:t xml:space="preserve"> </w:t>
      </w:r>
      <w:r>
        <w:rPr>
          <w:iCs/>
          <w:i/>
        </w:rPr>
        <w:t xml:space="preserve">Shayara Bano v Union of India</w:t>
      </w:r>
      <w:r>
        <w:t xml:space="preserve"> </w:t>
      </w:r>
      <w:r>
        <w:t xml:space="preserve">(2017) the Indian Supreme Court held instant triple talaq to be unconstitutional. Pakistan’s Muslim Family Laws Ordinance 1961 requires notice of a talaq to an arbitration council. Morocco’s 2004 Family Code requires judicial supervision of divorce. In</w:t>
      </w:r>
      <w:r>
        <w:t xml:space="preserve"> </w:t>
      </w:r>
      <w:r>
        <w:rPr>
          <w:iCs/>
          <w:i/>
        </w:rPr>
        <w:t xml:space="preserve">Bruker v Marcovitz</w:t>
      </w:r>
      <w:r>
        <w:t xml:space="preserve"> </w:t>
      </w:r>
      <w:r>
        <w:t xml:space="preserve">[2007] 3 SCR 607 the Supreme Court of Canada enforced in the civil courts a promise to give a Jewish</w:t>
      </w:r>
      <w:r>
        <w:t xml:space="preserve"> </w:t>
      </w:r>
      <w:r>
        <w:rPr>
          <w:iCs/>
          <w:i/>
        </w:rPr>
        <w:t xml:space="preserve">get</w:t>
      </w:r>
      <w:r>
        <w:t xml:space="preserve">, treating the withholding of religious divorce as a civil wrong. These examples show that reform of talaq has been achieved within a number of Muslim-majority and plural societies, often by reference to Islamic principles themselves.</w:t>
      </w:r>
    </w:p>
    <w:bookmarkEnd w:id="39"/>
    <w:bookmarkStart w:id="40" w:name="conclusion-on-question-2"/>
    <w:p>
      <w:pPr>
        <w:pStyle w:val="Heading3"/>
      </w:pPr>
      <w:r>
        <w:t xml:space="preserve">4.8 Conclusion on Question 2</w:t>
      </w:r>
    </w:p>
    <w:p>
      <w:pPr>
        <w:pStyle w:val="FirstParagraph"/>
      </w:pPr>
      <w:r>
        <w:t xml:space="preserve">Permitting unilateral talaq to dissolve a marriage in civil law is inconsistent with ss 9, 10, 28 and 34 of the Constitution. The limitation of religious practice that results from requiring a court decree is justified under s 36.</w:t>
      </w:r>
    </w:p>
    <w:p>
      <w:r>
        <w:pict>
          <v:rect style="width:0;height:1.5pt" o:hralign="center" o:hrstd="t" o:hr="t"/>
        </w:pict>
      </w:r>
    </w:p>
    <w:bookmarkEnd w:id="40"/>
    <w:bookmarkEnd w:id="41"/>
    <w:bookmarkStart w:id="51" w:name="Xd2318924ae027f8e40eec1e06f127cedc02dfa1"/>
    <w:p>
      <w:pPr>
        <w:pStyle w:val="Heading2"/>
      </w:pPr>
      <w:r>
        <w:t xml:space="preserve">5. Question 3: Practical and Doctrinal Challenges Identified by Academic Authors</w:t>
      </w:r>
    </w:p>
    <w:p>
      <w:pPr>
        <w:pStyle w:val="FirstParagraph"/>
      </w:pPr>
      <w:r>
        <w:t xml:space="preserve">The literature on the recognition and regulation of Muslim marriages in South Africa is substantial. Among the writers whose work is commonly cited are Waheeda Amien, Najma Moosa, Elsje Bonthuys and Christa Rautenbach, together with the standard family-law texts. Moosa and Rautenbach, who wrote Part 3 of Heaton (ed) on the dissolution of Muslim and Hindu marriages, are the most directly relevant contributors in the prescribed book. Precise references should be taken from the prescribed readings. The following challenges recur.</w:t>
      </w:r>
    </w:p>
    <w:bookmarkStart w:id="42" w:name="X25bafdc4857c1519c4043ddba030e207a879212"/>
    <w:p>
      <w:pPr>
        <w:pStyle w:val="Heading3"/>
      </w:pPr>
      <w:r>
        <w:t xml:space="preserve">5.1 Pluralism and the absence of a single Islamic law</w:t>
      </w:r>
    </w:p>
    <w:p>
      <w:pPr>
        <w:pStyle w:val="FirstParagraph"/>
      </w:pPr>
      <w:r>
        <w:t xml:space="preserve">Islamic family law is not codified in South Africa, and the schools of jurisprudence, principally the Hanafi and Shafi’i schools in South Africa, differ on the form, conditions and effects of talaq. They differ, for example, on whether a triple pronouncement in one sitting counts as one or three divorces, on the role of witnesses, and on the effect of pronouncement in anger or under compulsion. A court applying a single statutory regime must decide how to deal with marriages concluded under differing rules and with the evidential difficulty of establishing what the religious position is.</w:t>
      </w:r>
    </w:p>
    <w:bookmarkEnd w:id="42"/>
    <w:bookmarkStart w:id="43" w:name="state-adjudication-of-religious-doctrine"/>
    <w:p>
      <w:pPr>
        <w:pStyle w:val="Heading3"/>
      </w:pPr>
      <w:r>
        <w:t xml:space="preserve">5.2 State adjudication of religious doctrine</w:t>
      </w:r>
    </w:p>
    <w:p>
      <w:pPr>
        <w:pStyle w:val="FirstParagraph"/>
      </w:pPr>
      <w:r>
        <w:t xml:space="preserve">Courts are institutionally reluctant to decide questions of theology, and religious communities are reluctant to accept the state as arbiter of their doctrine. Amien’s work argues that the solution is not for the state to interpret doctrine but to regulate civil consequences, leaving questions of religious validity to the religious authorities. This is the approach adopted in my answer: the court rules on civil effect only.</w:t>
      </w:r>
    </w:p>
    <w:bookmarkEnd w:id="43"/>
    <w:bookmarkStart w:id="44" w:name="the-problem-of-limping-or-dual-status"/>
    <w:p>
      <w:pPr>
        <w:pStyle w:val="Heading3"/>
      </w:pPr>
      <w:r>
        <w:t xml:space="preserve">5.3 The problem of</w:t>
      </w:r>
      <w:r>
        <w:t xml:space="preserve"> </w:t>
      </w:r>
      <w:r>
        <w:t xml:space="preserve">“</w:t>
      </w:r>
      <w:r>
        <w:t xml:space="preserve">limping</w:t>
      </w:r>
      <w:r>
        <w:t xml:space="preserve">”</w:t>
      </w:r>
      <w:r>
        <w:t xml:space="preserve"> </w:t>
      </w:r>
      <w:r>
        <w:t xml:space="preserve">or dual status</w:t>
      </w:r>
    </w:p>
    <w:p>
      <w:pPr>
        <w:pStyle w:val="FirstParagraph"/>
      </w:pPr>
      <w:r>
        <w:t xml:space="preserve">If religious and civil dissolution are separate, a person may be divorced in one sphere and still married in the other. Amina’s position is an example: Farouk regards the marriage as ended and she does not. The risks include the husband remarrying religiously, and so creating a polygynous household, while the first marriage subsists in civil law, and the wife being unable to remarry within her religious community if the husband withholds his cooperation. Section 5A of the Divorce Act is the principal statutory mechanism for aligning the two spheres, as it allows the court to withhold a decree until the husband removes any religious barrier to the wife’s remarriage (Heaton [chapter/page to be added]).</w:t>
      </w:r>
    </w:p>
    <w:bookmarkEnd w:id="44"/>
    <w:bookmarkStart w:id="45" w:name="competing-theories-of-reform"/>
    <w:p>
      <w:pPr>
        <w:pStyle w:val="Heading3"/>
      </w:pPr>
      <w:r>
        <w:t xml:space="preserve">5.4 Competing theories of reform</w:t>
      </w:r>
    </w:p>
    <w:p>
      <w:pPr>
        <w:pStyle w:val="FirstParagraph"/>
      </w:pPr>
      <w:r>
        <w:t xml:space="preserve">Two broad positions appear in the literature. One, associated with Amien and Moosa, argues for a constitutionally compliant reading of Islamic law, in which Islamic jurisprudence is regarded as capable of internal reform through</w:t>
      </w:r>
      <w:r>
        <w:t xml:space="preserve"> </w:t>
      </w:r>
      <w:r>
        <w:rPr>
          <w:iCs/>
          <w:i/>
        </w:rPr>
        <w:t xml:space="preserve">ijtihad</w:t>
      </w:r>
      <w:r>
        <w:t xml:space="preserve"> </w:t>
      </w:r>
      <w:r>
        <w:t xml:space="preserve">(independent reasoning) and</w:t>
      </w:r>
      <w:r>
        <w:t xml:space="preserve"> </w:t>
      </w:r>
      <w:r>
        <w:rPr>
          <w:iCs/>
          <w:i/>
        </w:rPr>
        <w:t xml:space="preserve">takhayyur</w:t>
      </w:r>
      <w:r>
        <w:t xml:space="preserve"> </w:t>
      </w:r>
      <w:r>
        <w:t xml:space="preserve">(selecting among the opinions of different schools). On this view the Qur’anic emphasis on reconciliation, arbitration and fair treatment on divorce (for example Qur’an 2:229-232 and 65:1-2) supports judicial oversight. The other, associated with more traditional scholars, treats talaq as a divinely sanctioned right of the husband and sees state regulation as an intrusion on religious autonomy. Religious bodies in South Africa have not been uniform in their response to draft legislation.</w:t>
      </w:r>
    </w:p>
    <w:bookmarkEnd w:id="45"/>
    <w:bookmarkStart w:id="46" w:name="the-legislative-history"/>
    <w:p>
      <w:pPr>
        <w:pStyle w:val="Heading3"/>
      </w:pPr>
      <w:r>
        <w:t xml:space="preserve">5.5 The legislative history</w:t>
      </w:r>
    </w:p>
    <w:p>
      <w:pPr>
        <w:pStyle w:val="FirstParagraph"/>
      </w:pPr>
      <w:r>
        <w:t xml:space="preserve">The South African Law Reform Commission’s Project 59 report on Islamic marriages and related matters (2003) proposed a draft bill, and later versions of the Muslim Marriages Bill were introduced but not passed. The delay in legislating, despite the clear constitutional need, is a recurring theme in the literature and was the background to the</w:t>
      </w:r>
      <w:r>
        <w:t xml:space="preserve"> </w:t>
      </w:r>
      <w:r>
        <w:rPr>
          <w:iCs/>
          <w:i/>
        </w:rPr>
        <w:t xml:space="preserve">Women’s Legal Centre Trust</w:t>
      </w:r>
      <w:r>
        <w:t xml:space="preserve"> </w:t>
      </w:r>
      <w:r>
        <w:t xml:space="preserve">litigation. Writers also note that the drafts sought to regulate talaq, for example by requiring notice and involving the courts, and that these proposals were among the most contested.</w:t>
      </w:r>
    </w:p>
    <w:bookmarkEnd w:id="46"/>
    <w:bookmarkStart w:id="47" w:name="economic-and-gender-vulnerability"/>
    <w:p>
      <w:pPr>
        <w:pStyle w:val="Heading3"/>
      </w:pPr>
      <w:r>
        <w:t xml:space="preserve">5.6 Economic and gender vulnerability</w:t>
      </w:r>
    </w:p>
    <w:p>
      <w:pPr>
        <w:pStyle w:val="FirstParagraph"/>
      </w:pPr>
      <w:r>
        <w:t xml:space="preserve">Bonthuys and others emphasise that the main harm of unregulated talaq lies in its economic and child-related consequences, not in the religious act as such. A woman who has been repudiated and who has no access to the Divorce Act has no claim to post-divorce maintenance and no claim to assets registered in her husband’s name, even if she has contributed to the household for many years. The focus of reform should therefore be on ensuring that the ancillary relief in ss 6 and 7 of the Divorce Act is available. The Act achieves this by routing dissolution through the court.</w:t>
      </w:r>
    </w:p>
    <w:bookmarkEnd w:id="47"/>
    <w:bookmarkStart w:id="48" w:name="definitional-and-proof-difficulties"/>
    <w:p>
      <w:pPr>
        <w:pStyle w:val="Heading3"/>
      </w:pPr>
      <w:r>
        <w:t xml:space="preserve">5.7 Definitional and proof difficulties</w:t>
      </w:r>
    </w:p>
    <w:p>
      <w:pPr>
        <w:pStyle w:val="FirstParagraph"/>
      </w:pPr>
      <w:r>
        <w:t xml:space="preserve">Questions arise as to what counts as a</w:t>
      </w:r>
      <w:r>
        <w:t xml:space="preserve"> </w:t>
      </w:r>
      <w:r>
        <w:t xml:space="preserve">“</w:t>
      </w:r>
      <w:r>
        <w:t xml:space="preserve">Muslim marriage</w:t>
      </w:r>
      <w:r>
        <w:t xml:space="preserve">”</w:t>
      </w:r>
      <w:r>
        <w:t xml:space="preserve"> </w:t>
      </w:r>
      <w:r>
        <w:t xml:space="preserve">for the purposes of the Act, how the existence of the marriage and of a talaq is to be proved, what to do with polygynous marriages, and how to treat marriages concluded abroad or concluded under differing interpretations of the</w:t>
      </w:r>
      <w:r>
        <w:t xml:space="preserve"> </w:t>
      </w:r>
      <w:r>
        <w:rPr>
          <w:iCs/>
          <w:i/>
        </w:rPr>
        <w:t xml:space="preserve">nikah</w:t>
      </w:r>
      <w:r>
        <w:t xml:space="preserve"> </w:t>
      </w:r>
      <w:r>
        <w:t xml:space="preserve">requirements.</w:t>
      </w:r>
      <w:r>
        <w:t xml:space="preserve"> </w:t>
      </w:r>
      <w:r>
        <w:rPr>
          <w:iCs/>
          <w:i/>
        </w:rPr>
        <w:t xml:space="preserve">Hassam v Jacobs</w:t>
      </w:r>
      <w:r>
        <w:t xml:space="preserve"> </w:t>
      </w:r>
      <w:r>
        <w:t xml:space="preserve">shows that the Constitutional Court is willing to protect all spouses in such marriages. The Amendment Act’s definition of a Muslim marriage should be consulted on these questions.</w:t>
      </w:r>
    </w:p>
    <w:bookmarkEnd w:id="48"/>
    <w:bookmarkStart w:id="49" w:name="the-matrimonial-property-regime"/>
    <w:p>
      <w:pPr>
        <w:pStyle w:val="Heading3"/>
      </w:pPr>
      <w:r>
        <w:t xml:space="preserve">5.8 The matrimonial property regime</w:t>
      </w:r>
    </w:p>
    <w:p>
      <w:pPr>
        <w:pStyle w:val="FirstParagraph"/>
      </w:pPr>
      <w:r>
        <w:t xml:space="preserve">Islamic marriages do not have a single default property regime in South African law, since Islamic law traditionally treats the spouses’ property as separate. The redistribution power in s 7(3) of the Divorce Act, and the way it is applied to Muslim marriages under the Amendment Act and the interim relief in</w:t>
      </w:r>
      <w:r>
        <w:t xml:space="preserve"> </w:t>
      </w:r>
      <w:r>
        <w:rPr>
          <w:iCs/>
          <w:i/>
        </w:rPr>
        <w:t xml:space="preserve">Women’s Legal Centre Trust</w:t>
      </w:r>
      <w:r>
        <w:t xml:space="preserve">, is therefore of practical importance. It is the principal means by which a wife who has contributed to the household, but whose husband holds the assets, can obtain an equitable share. Heaton’s chapter on the patrimonial consequences of divorce (Chapter 4 of Heaton (ed)) discusses redistribution, and notes the debate about the constitutionality of s 7(3) itself, so the redistribution route should be presented as the available mechanism rather than an uncontested one [pinpoint to be added] is the starting point for how it would be applied. Whether the Amendment Act applies s 7(3) directly or by a modified route should be confirmed from the text.</w:t>
      </w:r>
    </w:p>
    <w:bookmarkEnd w:id="49"/>
    <w:bookmarkStart w:id="50" w:name="the-practical-difficulty-of-enforcement"/>
    <w:p>
      <w:pPr>
        <w:pStyle w:val="Heading3"/>
      </w:pPr>
      <w:r>
        <w:t xml:space="preserve">5.9 The practical difficulty of enforcement</w:t>
      </w:r>
    </w:p>
    <w:p>
      <w:pPr>
        <w:pStyle w:val="FirstParagraph"/>
      </w:pPr>
      <w:r>
        <w:t xml:space="preserve">Even where the law requires a decree, practical obstacles remain. Many spouses in Islamic marriages do not have the resources to litigate, are unfamiliar with the court system, or are subject to community pressure to resolve matters within the religious community. Writers stress that legal reform must therefore be accompanied by accessible procedures, legal aid, and engagement with religious authorities if it is to be effective.</w:t>
      </w:r>
    </w:p>
    <w:p>
      <w:r>
        <w:pict>
          <v:rect style="width:0;height:1.5pt" o:hralign="center" o:hrstd="t" o:hr="t"/>
        </w:pict>
      </w:r>
    </w:p>
    <w:bookmarkEnd w:id="50"/>
    <w:bookmarkEnd w:id="51"/>
    <w:bookmarkStart w:id="59" w:name="X7590c07bb65f7d19a81c8555c34de40222a0073"/>
    <w:p>
      <w:pPr>
        <w:pStyle w:val="Heading2"/>
      </w:pPr>
      <w:r>
        <w:t xml:space="preserve">6. Question 4: A Reasoned View on How Courts Should Interpret and Apply the New Provisions</w:t>
      </w:r>
    </w:p>
    <w:p>
      <w:pPr>
        <w:pStyle w:val="FirstParagraph"/>
      </w:pPr>
      <w:r>
        <w:t xml:space="preserve">I would advise the court to adopt the following approach.</w:t>
      </w:r>
    </w:p>
    <w:bookmarkStart w:id="52" w:name="a-purposive-rights-based-interpretation"/>
    <w:p>
      <w:pPr>
        <w:pStyle w:val="Heading3"/>
      </w:pPr>
      <w:r>
        <w:t xml:space="preserve">6.1 A purposive, rights-based interpretation</w:t>
      </w:r>
    </w:p>
    <w:p>
      <w:pPr>
        <w:pStyle w:val="FirstParagraph"/>
      </w:pPr>
      <w:r>
        <w:t xml:space="preserve">Section 39(2) of the Constitution requires the court to promote the spirit, purport and objects of the Bill of Rights when interpreting legislation. The Amendment Act was enacted to give effect to the order in</w:t>
      </w:r>
      <w:r>
        <w:t xml:space="preserve"> </w:t>
      </w:r>
      <w:r>
        <w:rPr>
          <w:iCs/>
          <w:i/>
        </w:rPr>
        <w:t xml:space="preserve">Women’s Legal Centre Trust</w:t>
      </w:r>
      <w:r>
        <w:t xml:space="preserve"> </w:t>
      </w:r>
      <w:r>
        <w:t xml:space="preserve">and to cure the infringement of ss 9, 10, 28 and 34. It should be read as the exclusive civil route to dissolution of a Muslim marriage. Any ambiguity should be resolved in favour of the reading that protects the spouse who would otherwise be left without recourse.</w:t>
      </w:r>
    </w:p>
    <w:bookmarkEnd w:id="52"/>
    <w:bookmarkStart w:id="53" w:name="X2764489322002a92f35e5a54c7e3aa40bec3e77"/>
    <w:p>
      <w:pPr>
        <w:pStyle w:val="Heading3"/>
      </w:pPr>
      <w:r>
        <w:t xml:space="preserve">6.2 Legal certainty through a single status-changing event</w:t>
      </w:r>
    </w:p>
    <w:p>
      <w:pPr>
        <w:pStyle w:val="FirstParagraph"/>
      </w:pPr>
      <w:r>
        <w:t xml:space="preserve">Legal certainty favours a clear rule: the marriage ends when, and only when, a court grants a decree. That is the position for marriages under the Marriage Act and the Civil Union Act, and it should be the position for Muslim marriages. A decree is a public judgment, capable of proof, which third parties such as insurers, pension funds, the Master of the High Court and the Department of Home Affairs can rely on. A talaq is not. Treating it as effective would create uncertainty about whether and when a marriage ended, and thus about maintenance obligations, intestate succession, the validity of any later marriage, and the legitimacy of the parties’ arrangements.</w:t>
      </w:r>
    </w:p>
    <w:bookmarkEnd w:id="53"/>
    <w:bookmarkStart w:id="54" w:name="X57ceb11d823d022baa80bb46136130b61b0b98e"/>
    <w:p>
      <w:pPr>
        <w:pStyle w:val="Heading3"/>
      </w:pPr>
      <w:r>
        <w:t xml:space="preserve">6.3 Respect for religious freedom within its proper sphere</w:t>
      </w:r>
    </w:p>
    <w:p>
      <w:pPr>
        <w:pStyle w:val="FirstParagraph"/>
      </w:pPr>
      <w:r>
        <w:t xml:space="preserve">The court should state that it does not rule on whether the talaq is valid in Islamic law. The parties remain free to treat it as religiously effective. This respects the s 15 interest, avoids judicial entanglement in religious doctrine, and keeps the court within its competence. Where a religious barrier to remarriage exists, s 5A allows the court to ensure that the husband does not obtain a civil decree while leaving his wife in a religious limbo.</w:t>
      </w:r>
    </w:p>
    <w:bookmarkEnd w:id="54"/>
    <w:bookmarkStart w:id="55" w:name="X475c092ec9f22e2c383dc96d14e75fa54fc3831"/>
    <w:p>
      <w:pPr>
        <w:pStyle w:val="Heading3"/>
      </w:pPr>
      <w:r>
        <w:t xml:space="preserve">6.4 Treating the talaq as evidence, not as dissolution</w:t>
      </w:r>
    </w:p>
    <w:p>
      <w:pPr>
        <w:pStyle w:val="FirstParagraph"/>
      </w:pPr>
      <w:r>
        <w:t xml:space="preserve">Farouk’s pronouncement is strong evidence that the marriage has broken down irretrievably for the purposes of s 4. The court should dismiss or decline the declaratory application, but it should allow him to institute divorce proceedings, or allow the application to be amended and converted into one, so that the matter proceeds under the Divorce Act with the full range of ancillary relief for Amina and any children. This is a practical way of giving Farouk what he is entitled to, a legal end to a marriage that has failed, without giving him what he is not entitled to, an unregulated and unilateral one.</w:t>
      </w:r>
    </w:p>
    <w:bookmarkEnd w:id="55"/>
    <w:bookmarkStart w:id="56" w:name="protecting-amina-in-the-interim"/>
    <w:p>
      <w:pPr>
        <w:pStyle w:val="Heading3"/>
      </w:pPr>
      <w:r>
        <w:t xml:space="preserve">6.5 Protecting Amina in the interim</w:t>
      </w:r>
    </w:p>
    <w:p>
      <w:pPr>
        <w:pStyle w:val="FirstParagraph"/>
      </w:pPr>
      <w:r>
        <w:t xml:space="preserve">Pending the divorce, the court should protect Amina’s position. She should be permitted to remain in the home, consistent with s 26(3) of the Constitution. An order for interim maintenance and a contribution towards her legal costs can be sought under rule 43 of the Uniform Rules of Court. Orders on the care of and contact with any children, and on the preservation of the assets pending the determination of the s 7(3) claim, would also be appropriate.</w:t>
      </w:r>
    </w:p>
    <w:bookmarkEnd w:id="56"/>
    <w:bookmarkStart w:id="57" w:name="constitutional-avoidance"/>
    <w:p>
      <w:pPr>
        <w:pStyle w:val="Heading3"/>
      </w:pPr>
      <w:r>
        <w:t xml:space="preserve">6.6 Constitutional avoidance</w:t>
      </w:r>
    </w:p>
    <w:p>
      <w:pPr>
        <w:pStyle w:val="FirstParagraph"/>
      </w:pPr>
      <w:r>
        <w:t xml:space="preserve">Courts should decide a matter on non-constitutional grounds where they can. The case can be disposed of by interpreting the Amendment Act, with constitutional values informing that interpretation. If the court is pressed on whether talaq is itself constitutionally permissible as a civil mode of dissolution, the answer is that a unilateral power of repudiation, exercised without a hearing and without regard to children or property, cannot survive scrutiny under ss 9 and 10, and that any limitation on religious practice is justified under s 36.</w:t>
      </w:r>
    </w:p>
    <w:bookmarkEnd w:id="57"/>
    <w:bookmarkStart w:id="58" w:name="why-this-approach-is-best"/>
    <w:p>
      <w:pPr>
        <w:pStyle w:val="Heading3"/>
      </w:pPr>
      <w:r>
        <w:t xml:space="preserve">6.7 Why this approach is best</w:t>
      </w:r>
    </w:p>
    <w:p>
      <w:pPr>
        <w:pStyle w:val="FirstParagraph"/>
      </w:pPr>
      <w:r>
        <w:t xml:space="preserve">The approach achieves three goals. It secures legal certainty by locating status change in a single public act. It protects equality and dignity by giving Amina a voice, access to a court, and the benefit of the Act’s protective provisions. It respects religious freedom by leaving religious questions to the religious community and by using mechanisms such as s 5A to align the two spheres. The alternative of permitting talaq to operate as a civil mode of dissolution would re-create the vulnerability that the Amendment Act was passed to remove.</w:t>
      </w:r>
    </w:p>
    <w:p>
      <w:r>
        <w:pict>
          <v:rect style="width:0;height:1.5pt" o:hralign="center" o:hrstd="t" o:hr="t"/>
        </w:pict>
      </w:r>
    </w:p>
    <w:bookmarkEnd w:id="58"/>
    <w:bookmarkEnd w:id="59"/>
    <w:bookmarkStart w:id="60" w:name="conclusion"/>
    <w:p>
      <w:pPr>
        <w:pStyle w:val="Heading2"/>
      </w:pPr>
      <w:r>
        <w:t xml:space="preserve">7. Conclusion</w:t>
      </w:r>
    </w:p>
    <w:p>
      <w:pPr>
        <w:pStyle w:val="FirstParagraph"/>
      </w:pPr>
      <w:r>
        <w:t xml:space="preserve">After the Divorce Amendment Act 1 of 2024, a Muslim marriage can be dissolved in South African civil law only by a court decree. Farouk’s talaq may carry religious weight but it cannot terminate the marriage in law, and his application for a declaratory order should be refused. Amina’s constitutional objections are well founded: a unilateral male power of repudiation, exercised without a hearing and without regard to children or property, is inconsistent with ss 9, 10, 28 and 34 of the Constitution, and the limitation of religious practice that results from requiring a decree is justified under s 36. The sound course is for the court to treat the talaq as evidence of breakdown, direct the parties to the Divorce Act process, protect Amina’s interim position, and use s 5A to align religious and civil outcomes. That outcome promotes legal certainty, gives effect to the constitutional values that prompted the reform, and respects the religious freedom of both parties within the proper sphere.</w:t>
      </w:r>
    </w:p>
    <w:p>
      <w:r>
        <w:pict>
          <v:rect style="width:0;height:1.5pt" o:hralign="center" o:hrstd="t" o:hr="t"/>
        </w:pict>
      </w:r>
    </w:p>
    <w:bookmarkEnd w:id="60"/>
    <w:bookmarkStart w:id="65" w:name="table-of-authorities"/>
    <w:p>
      <w:pPr>
        <w:pStyle w:val="Heading2"/>
      </w:pPr>
      <w:r>
        <w:t xml:space="preserve">Table of Authorities</w:t>
      </w:r>
    </w:p>
    <w:bookmarkStart w:id="61" w:name="legislation"/>
    <w:p>
      <w:pPr>
        <w:pStyle w:val="Heading3"/>
      </w:pPr>
      <w:r>
        <w:t xml:space="preserve">Legislation</w:t>
      </w:r>
    </w:p>
    <w:p>
      <w:pPr>
        <w:numPr>
          <w:ilvl w:val="0"/>
          <w:numId w:val="1001"/>
        </w:numPr>
        <w:pStyle w:val="Compact"/>
      </w:pPr>
      <w:r>
        <w:t xml:space="preserve">Constitution of the Republic of South Africa, 1996, ss 1(c), 7(2), 8, 9, 10, 15, 26(3), 28, 31, 34, 36, 39.</w:t>
      </w:r>
    </w:p>
    <w:p>
      <w:pPr>
        <w:numPr>
          <w:ilvl w:val="0"/>
          <w:numId w:val="1001"/>
        </w:numPr>
        <w:pStyle w:val="Compact"/>
      </w:pPr>
      <w:r>
        <w:t xml:space="preserve">Divorce Act 70 of 1979, ss 3, 4, 5A, 6, 7.</w:t>
      </w:r>
    </w:p>
    <w:p>
      <w:pPr>
        <w:numPr>
          <w:ilvl w:val="0"/>
          <w:numId w:val="1001"/>
        </w:numPr>
        <w:pStyle w:val="Compact"/>
      </w:pPr>
      <w:r>
        <w:t xml:space="preserve">Divorce Amendment Act 1 of 2024.</w:t>
      </w:r>
    </w:p>
    <w:p>
      <w:pPr>
        <w:numPr>
          <w:ilvl w:val="0"/>
          <w:numId w:val="1001"/>
        </w:numPr>
        <w:pStyle w:val="Compact"/>
      </w:pPr>
      <w:r>
        <w:t xml:space="preserve">Marriage Act 25 of 1961.</w:t>
      </w:r>
    </w:p>
    <w:p>
      <w:pPr>
        <w:numPr>
          <w:ilvl w:val="0"/>
          <w:numId w:val="1001"/>
        </w:numPr>
        <w:pStyle w:val="Compact"/>
      </w:pPr>
      <w:r>
        <w:t xml:space="preserve">Civil Union Act 17 of 2006.</w:t>
      </w:r>
    </w:p>
    <w:p>
      <w:pPr>
        <w:numPr>
          <w:ilvl w:val="0"/>
          <w:numId w:val="1001"/>
        </w:numPr>
        <w:pStyle w:val="Compact"/>
      </w:pPr>
      <w:r>
        <w:t xml:space="preserve">Intestate Succession Act 81 of 1987.</w:t>
      </w:r>
    </w:p>
    <w:p>
      <w:pPr>
        <w:numPr>
          <w:ilvl w:val="0"/>
          <w:numId w:val="1001"/>
        </w:numPr>
        <w:pStyle w:val="Compact"/>
      </w:pPr>
      <w:r>
        <w:t xml:space="preserve">Maintenance of Surviving Spouses Act 27 of 1990.</w:t>
      </w:r>
    </w:p>
    <w:p>
      <w:pPr>
        <w:numPr>
          <w:ilvl w:val="0"/>
          <w:numId w:val="1001"/>
        </w:numPr>
        <w:pStyle w:val="Compact"/>
      </w:pPr>
      <w:r>
        <w:t xml:space="preserve">Superior Courts Act 10 of 2013, s 21(1)(c).</w:t>
      </w:r>
    </w:p>
    <w:bookmarkEnd w:id="61"/>
    <w:bookmarkStart w:id="62" w:name="cases"/>
    <w:p>
      <w:pPr>
        <w:pStyle w:val="Heading3"/>
      </w:pPr>
      <w:r>
        <w:t xml:space="preserve">Cases</w:t>
      </w:r>
    </w:p>
    <w:p>
      <w:pPr>
        <w:numPr>
          <w:ilvl w:val="0"/>
          <w:numId w:val="1002"/>
        </w:numPr>
        <w:pStyle w:val="Compact"/>
      </w:pPr>
      <w:r>
        <w:rPr>
          <w:iCs/>
          <w:i/>
        </w:rPr>
        <w:t xml:space="preserve">Amod v Multilateral Motor Vehicle Accidents Fund</w:t>
      </w:r>
      <w:r>
        <w:t xml:space="preserve"> </w:t>
      </w:r>
      <w:r>
        <w:t xml:space="preserve">1999 (4) SA 1319 (SCA)</w:t>
      </w:r>
    </w:p>
    <w:p>
      <w:pPr>
        <w:numPr>
          <w:ilvl w:val="0"/>
          <w:numId w:val="1002"/>
        </w:numPr>
        <w:pStyle w:val="Compact"/>
      </w:pPr>
      <w:r>
        <w:rPr>
          <w:iCs/>
          <w:i/>
        </w:rPr>
        <w:t xml:space="preserve">Bhe v Magistrate, Khayelitsha</w:t>
      </w:r>
      <w:r>
        <w:t xml:space="preserve"> </w:t>
      </w:r>
      <w:r>
        <w:t xml:space="preserve">2005 (1) SA 580 (CC)</w:t>
      </w:r>
    </w:p>
    <w:p>
      <w:pPr>
        <w:numPr>
          <w:ilvl w:val="0"/>
          <w:numId w:val="1002"/>
        </w:numPr>
        <w:pStyle w:val="Compact"/>
      </w:pPr>
      <w:r>
        <w:rPr>
          <w:iCs/>
          <w:i/>
        </w:rPr>
        <w:t xml:space="preserve">Bruker v Marcovitz</w:t>
      </w:r>
      <w:r>
        <w:t xml:space="preserve"> </w:t>
      </w:r>
      <w:r>
        <w:t xml:space="preserve">[2007] 3 SCR 607</w:t>
      </w:r>
    </w:p>
    <w:p>
      <w:pPr>
        <w:numPr>
          <w:ilvl w:val="0"/>
          <w:numId w:val="1002"/>
        </w:numPr>
        <w:pStyle w:val="Compact"/>
      </w:pPr>
      <w:r>
        <w:rPr>
          <w:iCs/>
          <w:i/>
        </w:rPr>
        <w:t xml:space="preserve">Christian Education South Africa v Minister of Education</w:t>
      </w:r>
      <w:r>
        <w:t xml:space="preserve"> </w:t>
      </w:r>
      <w:r>
        <w:t xml:space="preserve">2000 (4) SA 757 (CC)</w:t>
      </w:r>
    </w:p>
    <w:p>
      <w:pPr>
        <w:numPr>
          <w:ilvl w:val="0"/>
          <w:numId w:val="1002"/>
        </w:numPr>
        <w:pStyle w:val="Compact"/>
      </w:pPr>
      <w:r>
        <w:rPr>
          <w:iCs/>
          <w:i/>
        </w:rPr>
        <w:t xml:space="preserve">Daniels v Campbell NO</w:t>
      </w:r>
      <w:r>
        <w:t xml:space="preserve"> </w:t>
      </w:r>
      <w:r>
        <w:t xml:space="preserve">2004 (5) SA 331 (CC)</w:t>
      </w:r>
    </w:p>
    <w:p>
      <w:pPr>
        <w:numPr>
          <w:ilvl w:val="0"/>
          <w:numId w:val="1002"/>
        </w:numPr>
        <w:pStyle w:val="Compact"/>
      </w:pPr>
      <w:r>
        <w:rPr>
          <w:iCs/>
          <w:i/>
        </w:rPr>
        <w:t xml:space="preserve">Gumede v President of the Republic of South Africa</w:t>
      </w:r>
      <w:r>
        <w:t xml:space="preserve"> </w:t>
      </w:r>
      <w:r>
        <w:t xml:space="preserve">2009 (3) SA 152 (CC)</w:t>
      </w:r>
    </w:p>
    <w:p>
      <w:pPr>
        <w:numPr>
          <w:ilvl w:val="0"/>
          <w:numId w:val="1002"/>
        </w:numPr>
        <w:pStyle w:val="Compact"/>
      </w:pPr>
      <w:r>
        <w:rPr>
          <w:iCs/>
          <w:i/>
        </w:rPr>
        <w:t xml:space="preserve">Harksen v Lane NO</w:t>
      </w:r>
      <w:r>
        <w:t xml:space="preserve"> </w:t>
      </w:r>
      <w:r>
        <w:t xml:space="preserve">1998 (1) SA 300 (CC)</w:t>
      </w:r>
    </w:p>
    <w:p>
      <w:pPr>
        <w:numPr>
          <w:ilvl w:val="0"/>
          <w:numId w:val="1002"/>
        </w:numPr>
        <w:pStyle w:val="Compact"/>
      </w:pPr>
      <w:r>
        <w:rPr>
          <w:iCs/>
          <w:i/>
        </w:rPr>
        <w:t xml:space="preserve">Hassam v Jacobs NO</w:t>
      </w:r>
      <w:r>
        <w:t xml:space="preserve"> </w:t>
      </w:r>
      <w:r>
        <w:t xml:space="preserve">2009 (5) SA 572 (CC)</w:t>
      </w:r>
    </w:p>
    <w:p>
      <w:pPr>
        <w:numPr>
          <w:ilvl w:val="0"/>
          <w:numId w:val="1002"/>
        </w:numPr>
        <w:pStyle w:val="Compact"/>
      </w:pPr>
      <w:r>
        <w:rPr>
          <w:iCs/>
          <w:i/>
        </w:rPr>
        <w:t xml:space="preserve">Ismail v Ismail</w:t>
      </w:r>
      <w:r>
        <w:t xml:space="preserve"> </w:t>
      </w:r>
      <w:r>
        <w:t xml:space="preserve">1983 (1) SA 1006 (A)</w:t>
      </w:r>
    </w:p>
    <w:p>
      <w:pPr>
        <w:numPr>
          <w:ilvl w:val="0"/>
          <w:numId w:val="1002"/>
        </w:numPr>
        <w:pStyle w:val="Compact"/>
      </w:pPr>
      <w:r>
        <w:rPr>
          <w:iCs/>
          <w:i/>
        </w:rPr>
        <w:t xml:space="preserve">Khan v Khan</w:t>
      </w:r>
      <w:r>
        <w:t xml:space="preserve"> </w:t>
      </w:r>
      <w:r>
        <w:t xml:space="preserve">2005 (2) SA 272 (T)</w:t>
      </w:r>
    </w:p>
    <w:p>
      <w:pPr>
        <w:numPr>
          <w:ilvl w:val="0"/>
          <w:numId w:val="1002"/>
        </w:numPr>
        <w:pStyle w:val="Compact"/>
      </w:pPr>
      <w:r>
        <w:rPr>
          <w:iCs/>
          <w:i/>
        </w:rPr>
        <w:t xml:space="preserve">Mayelane v Ngwenyama</w:t>
      </w:r>
      <w:r>
        <w:t xml:space="preserve"> </w:t>
      </w:r>
      <w:r>
        <w:t xml:space="preserve">2013 (4) SA 415 (CC)</w:t>
      </w:r>
    </w:p>
    <w:p>
      <w:pPr>
        <w:numPr>
          <w:ilvl w:val="0"/>
          <w:numId w:val="1002"/>
        </w:numPr>
        <w:pStyle w:val="Compact"/>
      </w:pPr>
      <w:r>
        <w:rPr>
          <w:iCs/>
          <w:i/>
        </w:rPr>
        <w:t xml:space="preserve">MEC for Education, KwaZulu-Natal v Pillay</w:t>
      </w:r>
      <w:r>
        <w:t xml:space="preserve"> </w:t>
      </w:r>
      <w:r>
        <w:t xml:space="preserve">2008 (1) SA 474 (CC)</w:t>
      </w:r>
    </w:p>
    <w:p>
      <w:pPr>
        <w:numPr>
          <w:ilvl w:val="0"/>
          <w:numId w:val="1002"/>
        </w:numPr>
        <w:pStyle w:val="Compact"/>
      </w:pPr>
      <w:r>
        <w:rPr>
          <w:iCs/>
          <w:i/>
        </w:rPr>
        <w:t xml:space="preserve">President of the Republic of South Africa v Hugo</w:t>
      </w:r>
      <w:r>
        <w:t xml:space="preserve"> </w:t>
      </w:r>
      <w:r>
        <w:t xml:space="preserve">1997 (4) SA 1 (CC)</w:t>
      </w:r>
    </w:p>
    <w:p>
      <w:pPr>
        <w:numPr>
          <w:ilvl w:val="0"/>
          <w:numId w:val="1002"/>
        </w:numPr>
        <w:pStyle w:val="Compact"/>
      </w:pPr>
      <w:r>
        <w:rPr>
          <w:iCs/>
          <w:i/>
        </w:rPr>
        <w:t xml:space="preserve">Prince v President, Cape Law Society</w:t>
      </w:r>
      <w:r>
        <w:t xml:space="preserve"> </w:t>
      </w:r>
      <w:r>
        <w:t xml:space="preserve">2002 (2) SA 794 (CC)</w:t>
      </w:r>
    </w:p>
    <w:p>
      <w:pPr>
        <w:numPr>
          <w:ilvl w:val="0"/>
          <w:numId w:val="1002"/>
        </w:numPr>
        <w:pStyle w:val="Compact"/>
      </w:pPr>
      <w:r>
        <w:rPr>
          <w:iCs/>
          <w:i/>
        </w:rPr>
        <w:t xml:space="preserve">Ryland v Edros</w:t>
      </w:r>
      <w:r>
        <w:t xml:space="preserve"> </w:t>
      </w:r>
      <w:r>
        <w:t xml:space="preserve">1997 (2) SA 690 (C)</w:t>
      </w:r>
    </w:p>
    <w:p>
      <w:pPr>
        <w:numPr>
          <w:ilvl w:val="0"/>
          <w:numId w:val="1002"/>
        </w:numPr>
        <w:pStyle w:val="Compact"/>
      </w:pPr>
      <w:r>
        <w:rPr>
          <w:iCs/>
          <w:i/>
        </w:rPr>
        <w:t xml:space="preserve">Seedat’s Executors v The Master (Natal)</w:t>
      </w:r>
      <w:r>
        <w:t xml:space="preserve"> </w:t>
      </w:r>
      <w:r>
        <w:t xml:space="preserve">1917 AD 302</w:t>
      </w:r>
    </w:p>
    <w:p>
      <w:pPr>
        <w:numPr>
          <w:ilvl w:val="0"/>
          <w:numId w:val="1002"/>
        </w:numPr>
        <w:pStyle w:val="Compact"/>
      </w:pPr>
      <w:r>
        <w:rPr>
          <w:iCs/>
          <w:i/>
        </w:rPr>
        <w:t xml:space="preserve">Shayara Bano v Union of India</w:t>
      </w:r>
      <w:r>
        <w:t xml:space="preserve"> </w:t>
      </w:r>
      <w:r>
        <w:t xml:space="preserve">(2017) (Supreme Court of India)</w:t>
      </w:r>
    </w:p>
    <w:p>
      <w:pPr>
        <w:numPr>
          <w:ilvl w:val="0"/>
          <w:numId w:val="1002"/>
        </w:numPr>
        <w:pStyle w:val="Compact"/>
      </w:pPr>
      <w:r>
        <w:rPr>
          <w:iCs/>
          <w:i/>
        </w:rPr>
        <w:t xml:space="preserve">Taylor v Kurstag NO</w:t>
      </w:r>
      <w:r>
        <w:t xml:space="preserve"> </w:t>
      </w:r>
      <w:r>
        <w:t xml:space="preserve">2005 (1) SA 362 (W)</w:t>
      </w:r>
    </w:p>
    <w:p>
      <w:pPr>
        <w:numPr>
          <w:ilvl w:val="0"/>
          <w:numId w:val="1002"/>
        </w:numPr>
        <w:pStyle w:val="Compact"/>
      </w:pPr>
      <w:r>
        <w:rPr>
          <w:iCs/>
          <w:i/>
        </w:rPr>
        <w:t xml:space="preserve">Women’s Legal Centre Trust v President of the Republic of South Africa</w:t>
      </w:r>
      <w:r>
        <w:t xml:space="preserve"> </w:t>
      </w:r>
      <w:r>
        <w:t xml:space="preserve">(High Court 2018; SCA 2020; Constitutional Court 2022), full citations to be confirmed.</w:t>
      </w:r>
    </w:p>
    <w:bookmarkEnd w:id="62"/>
    <w:bookmarkStart w:id="63" w:name="books-and-articles"/>
    <w:p>
      <w:pPr>
        <w:pStyle w:val="Heading3"/>
      </w:pPr>
      <w:r>
        <w:t xml:space="preserve">Books and articles</w:t>
      </w:r>
    </w:p>
    <w:p>
      <w:pPr>
        <w:numPr>
          <w:ilvl w:val="0"/>
          <w:numId w:val="1003"/>
        </w:numPr>
        <w:pStyle w:val="Compact"/>
      </w:pPr>
      <w:r>
        <w:t xml:space="preserve">Heaton, J (ed)</w:t>
      </w:r>
      <w:r>
        <w:t xml:space="preserve"> </w:t>
      </w:r>
      <w:r>
        <w:rPr>
          <w:iCs/>
          <w:i/>
        </w:rPr>
        <w:t xml:space="preserve">The Law of Divorce and Dissolution of Life Partnerships in South Africa</w:t>
      </w:r>
      <w:r>
        <w:t xml:space="preserve"> </w:t>
      </w:r>
      <w:r>
        <w:t xml:space="preserve">(Juta, Cape Town 2014) (1st ed). Relevant contributors: Moosa, N and Rautenbach, C (Part 3, religious marriages); Himonga, C (Part 2, customary marriages); Sonnekus, JC (Chapter 3, personal consequences of divorce, including occupation of the matrimonial home); Heaton, J (Chapter 4, patrimonial consequences); Catto, A (jurisdiction, procedure and costs, including Rule 43); De Jong, M (mediation). Pinpoint references to be added from your copy.</w:t>
      </w:r>
    </w:p>
    <w:p>
      <w:pPr>
        <w:numPr>
          <w:ilvl w:val="0"/>
          <w:numId w:val="1003"/>
        </w:numPr>
        <w:pStyle w:val="Compact"/>
      </w:pPr>
      <w:r>
        <w:t xml:space="preserve">Kruuse, H book review of Heaton (ed) (2015) 40(1)</w:t>
      </w:r>
      <w:r>
        <w:t xml:space="preserve"> </w:t>
      </w:r>
      <w:r>
        <w:rPr>
          <w:iCs/>
          <w:i/>
        </w:rPr>
        <w:t xml:space="preserve">Journal for Juridical Science</w:t>
      </w:r>
      <w:r>
        <w:t xml:space="preserve"> </w:t>
      </w:r>
      <w:r>
        <w:t xml:space="preserve">69-74 (for the structure and authorship of the book).</w:t>
      </w:r>
    </w:p>
    <w:p>
      <w:pPr>
        <w:numPr>
          <w:ilvl w:val="0"/>
          <w:numId w:val="1003"/>
        </w:numPr>
        <w:pStyle w:val="Compact"/>
      </w:pPr>
      <w:r>
        <w:t xml:space="preserve">Amien, W; Moosa, N; Bonthuys, E; Rautenbach, C: articles on the recognition and regulation of Muslim marriages in South Africa, exact citations to be taken from the prescribed readings.</w:t>
      </w:r>
    </w:p>
    <w:p>
      <w:pPr>
        <w:numPr>
          <w:ilvl w:val="0"/>
          <w:numId w:val="1003"/>
        </w:numPr>
        <w:pStyle w:val="Compact"/>
      </w:pPr>
      <w:r>
        <w:t xml:space="preserve">South African Law Reform Commission</w:t>
      </w:r>
      <w:r>
        <w:t xml:space="preserve"> </w:t>
      </w:r>
      <w:r>
        <w:rPr>
          <w:iCs/>
          <w:i/>
        </w:rPr>
        <w:t xml:space="preserve">Project 59: Islamic Marriages and Related Matters</w:t>
      </w:r>
      <w:r>
        <w:t xml:space="preserve"> </w:t>
      </w:r>
      <w:r>
        <w:t xml:space="preserve">(2003).</w:t>
      </w:r>
    </w:p>
    <w:bookmarkEnd w:id="63"/>
    <w:bookmarkStart w:id="64" w:name="verify-before-the-exam"/>
    <w:p>
      <w:pPr>
        <w:pStyle w:val="Heading3"/>
      </w:pPr>
      <w:r>
        <w:t xml:space="preserve">Verify before the exam</w:t>
      </w:r>
    </w:p>
    <w:p>
      <w:pPr>
        <w:pStyle w:val="FirstParagraph"/>
      </w:pPr>
      <w:r>
        <w:t xml:space="preserve">Check the full citations for the</w:t>
      </w:r>
      <w:r>
        <w:t xml:space="preserve"> </w:t>
      </w:r>
      <w:r>
        <w:rPr>
          <w:iCs/>
          <w:i/>
        </w:rPr>
        <w:t xml:space="preserve">Women’s Legal Centre Trust</w:t>
      </w:r>
      <w:r>
        <w:t xml:space="preserve"> </w:t>
      </w:r>
      <w:r>
        <w:t xml:space="preserve">judgments, the section numbers and definitions in the Divorce Amendment Act 1 of 2024, and fill in the Heaton pinpoints marked in square brackets.</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2026-10-08T07:07:35Z</dcterms:created>
  <dcterms:modified xsi:type="dcterms:W3CDTF">2026-10-08T07:07:35Z</dcterms:modified>
</cp:coreProperties>
</file>

<file path=docProps/custom.xml><?xml version="1.0" encoding="utf-8"?>
<Properties xmlns="http://schemas.openxmlformats.org/officeDocument/2006/custom-properties" xmlns:vt="http://schemas.openxmlformats.org/officeDocument/2006/docPropsVTypes"/>
</file>