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d847962344823d165d6ffe78d4dedeb2209f146"/>
    <w:p>
      <w:pPr>
        <w:pStyle w:val="Heading1"/>
      </w:pPr>
      <w:r>
        <w:t xml:space="preserve">The termination of a Muslim marriage by</w:t>
      </w:r>
      <w:r>
        <w:t xml:space="preserve"> </w:t>
      </w:r>
      <w:r>
        <w:rPr>
          <w:iCs/>
          <w:i/>
        </w:rPr>
        <w:t xml:space="preserve">talaq</w:t>
      </w:r>
      <w:r>
        <w:t xml:space="preserve"> </w:t>
      </w:r>
      <w:r>
        <w:t xml:space="preserve">after the Divorce Amendment Act 1 of 2024</w:t>
      </w:r>
    </w:p>
    <w:bookmarkStart w:id="20" w:name="introduction"/>
    <w:p>
      <w:pPr>
        <w:pStyle w:val="Heading2"/>
      </w:pPr>
      <w:r>
        <w:t xml:space="preserve">Introduction</w:t>
      </w:r>
    </w:p>
    <w:p>
      <w:pPr>
        <w:pStyle w:val="FirstParagraph"/>
      </w:pPr>
      <w:r>
        <w:t xml:space="preserve">The legal recognition and regulation of Muslim marriages in South Africa has developed significantly since the adoption of the Constitution. Historically, Muslim marriages were not comprehensively recognised within the statutory marriage and divorce framework. This created particular difficulties when such marriages were terminated, because Islamic law recognises several forms of dissolution, while South African civil law provided a court-based divorce system. Osman-Hyder notes that the absence of formal regulation of the termination of Muslim marriages created uncertainty and exposed spouses, particularly women, to prejudice and abuse.^1</w:t>
      </w:r>
    </w:p>
    <w:p>
      <w:pPr>
        <w:pStyle w:val="BodyText"/>
      </w:pPr>
      <w:r>
        <w:t xml:space="preserve">The Constitutional Court’s decision in</w:t>
      </w:r>
      <w:r>
        <w:t xml:space="preserve"> </w:t>
      </w:r>
      <w:r>
        <w:rPr>
          <w:iCs/>
          <w:i/>
        </w:rPr>
        <w:t xml:space="preserve">Women’s Legal Centre Trust v President of the Republic of South Africa and Others</w:t>
      </w:r>
      <w:r>
        <w:t xml:space="preserve"> </w:t>
      </w:r>
      <w:r>
        <w:t xml:space="preserve">(</w:t>
      </w:r>
      <w:r>
        <w:t xml:space="preserve">“</w:t>
      </w:r>
      <w:r>
        <w:rPr>
          <w:iCs/>
          <w:i/>
        </w:rPr>
        <w:t xml:space="preserve">Women’s Legal Centre Trust</w:t>
      </w:r>
      <w:r>
        <w:t xml:space="preserve">”</w:t>
      </w:r>
      <w:r>
        <w:t xml:space="preserve">) confirmed the constitutional deficiencies caused by the exclusion of Muslim marriages from the Divorce Act 70 of 1979 (</w:t>
      </w:r>
      <w:r>
        <w:t xml:space="preserve">“</w:t>
      </w:r>
      <w:r>
        <w:t xml:space="preserve">the Divorce Act</w:t>
      </w:r>
      <w:r>
        <w:t xml:space="preserve">”</w:t>
      </w:r>
      <w:r>
        <w:t xml:space="preserve">).^2 Parliament subsequently enacted the Divorce Amendment Act 1 of 2024 (</w:t>
      </w:r>
      <w:r>
        <w:t xml:space="preserve">“</w:t>
      </w:r>
      <w:r>
        <w:t xml:space="preserve">the Amendment Act</w:t>
      </w:r>
      <w:r>
        <w:t xml:space="preserve">”</w:t>
      </w:r>
      <w:r>
        <w:t xml:space="preserve">), which commenced on 14 May 2024.^3</w:t>
      </w:r>
    </w:p>
    <w:p>
      <w:pPr>
        <w:pStyle w:val="BodyText"/>
      </w:pPr>
      <w:r>
        <w:t xml:space="preserve">The facts concerning Amina and Farouk raise a difficult question under this new framework. They entered into a Muslim marriage in 2012 and never registered it under the Marriage Act 25 of 1961 or the Civil Union Act 17 of 2006. In March 2025, Farouk issued</w:t>
      </w:r>
      <w:r>
        <w:t xml:space="preserve"> </w:t>
      </w:r>
      <w:r>
        <w:rPr>
          <w:iCs/>
          <w:i/>
        </w:rPr>
        <w:t xml:space="preserve">talaq</w:t>
      </w:r>
      <w:r>
        <w:t xml:space="preserve"> </w:t>
      </w:r>
      <w:r>
        <w:t xml:space="preserve">in the presence of two witnesses. Amina disputes its legal effect and argues that, since the 2024 amendments, the marriage can only be dissolved by a court decree. Farouk seeks a declaratory order that the</w:t>
      </w:r>
      <w:r>
        <w:t xml:space="preserve"> </w:t>
      </w:r>
      <w:r>
        <w:rPr>
          <w:iCs/>
          <w:i/>
        </w:rPr>
        <w:t xml:space="preserve">talaq</w:t>
      </w:r>
      <w:r>
        <w:t xml:space="preserve"> </w:t>
      </w:r>
      <w:r>
        <w:t xml:space="preserve">lawfully dissolved the marriage.</w:t>
      </w:r>
    </w:p>
    <w:p>
      <w:pPr>
        <w:pStyle w:val="BodyText"/>
      </w:pPr>
      <w:r>
        <w:t xml:space="preserve">My thesis is as follows. The Amendment Act brings Muslim marriages within the civil-law framework of the Divorce Act and provides for judicial dissolution and for judicial protection of the consequences of divorce. The Act does not expressly declare</w:t>
      </w:r>
      <w:r>
        <w:t xml:space="preserve"> </w:t>
      </w:r>
      <w:r>
        <w:rPr>
          <w:iCs/>
          <w:i/>
        </w:rPr>
        <w:t xml:space="preserve">talaq</w:t>
      </w:r>
      <w:r>
        <w:t xml:space="preserve"> </w:t>
      </w:r>
      <w:r>
        <w:t xml:space="preserve">invalid under Islamic law, and a court need not decide whether the</w:t>
      </w:r>
      <w:r>
        <w:t xml:space="preserve"> </w:t>
      </w:r>
      <w:r>
        <w:rPr>
          <w:iCs/>
          <w:i/>
        </w:rPr>
        <w:t xml:space="preserve">talaq</w:t>
      </w:r>
      <w:r>
        <w:t xml:space="preserve"> </w:t>
      </w:r>
      <w:r>
        <w:t xml:space="preserve">was religiously valid. The question is its civil effect. Section 6 of the Amendment Act creates a real interpretative difficulty, because it refers expressly to Muslim marriages terminated according to Islamic tenets where divorce proceedings have been instituted, while also applying the Act to marriages that subsisted on 15 December 2014.^4 The courts have recognised this uncertainty. On balance, the stronger statutory and constitutional interpretation is that the marriage continues to subsist in civil law until a court grants a decree, that Amina is entitled to pursue a civil divorce notwithstanding the</w:t>
      </w:r>
      <w:r>
        <w:t xml:space="preserve"> </w:t>
      </w:r>
      <w:r>
        <w:rPr>
          <w:iCs/>
          <w:i/>
        </w:rPr>
        <w:t xml:space="preserve">talaq</w:t>
      </w:r>
      <w:r>
        <w:t xml:space="preserve">, and that Farouk’s application should be refused in the broad form in which he seeks it.</w:t>
      </w:r>
    </w:p>
    <w:bookmarkEnd w:id="20"/>
    <w:bookmarkStart w:id="25" w:name="X86e6b4842182961b57c2e2029735958385cf689"/>
    <w:p>
      <w:pPr>
        <w:pStyle w:val="Heading2"/>
      </w:pPr>
      <w:r>
        <w:t xml:space="preserve">1. The effect of</w:t>
      </w:r>
      <w:r>
        <w:t xml:space="preserve"> </w:t>
      </w:r>
      <w:r>
        <w:rPr>
          <w:iCs/>
          <w:i/>
        </w:rPr>
        <w:t xml:space="preserve">talaq</w:t>
      </w:r>
      <w:r>
        <w:t xml:space="preserve"> </w:t>
      </w:r>
      <w:r>
        <w:t xml:space="preserve">after the Divorce Amendment Act 1 of 2024</w:t>
      </w:r>
    </w:p>
    <w:bookmarkStart w:id="21" w:name="the-historical-position"/>
    <w:p>
      <w:pPr>
        <w:pStyle w:val="Heading3"/>
      </w:pPr>
      <w:r>
        <w:t xml:space="preserve">1.1 The historical position</w:t>
      </w:r>
    </w:p>
    <w:p>
      <w:pPr>
        <w:pStyle w:val="FirstParagraph"/>
      </w:pPr>
      <w:r>
        <w:t xml:space="preserve">Before the 2024 amendments, Muslim marriages occupied an uncertain position in South African family law. Courts gradually recognised particular consequences of such marriages in specific areas of law, often through constitutional interpretation.</w:t>
      </w:r>
    </w:p>
    <w:p>
      <w:pPr>
        <w:pStyle w:val="BodyText"/>
      </w:pPr>
      <w:r>
        <w:t xml:space="preserve">In</w:t>
      </w:r>
      <w:r>
        <w:t xml:space="preserve"> </w:t>
      </w:r>
      <w:r>
        <w:rPr>
          <w:iCs/>
          <w:i/>
        </w:rPr>
        <w:t xml:space="preserve">Ryland v Edros</w:t>
      </w:r>
      <w:r>
        <w:t xml:space="preserve">, the High Court recognised contractual consequences arising from a Muslim marriage and rejected the proposition that Islamic-law obligations are automatically contrary to public policy.^5 In</w:t>
      </w:r>
      <w:r>
        <w:t xml:space="preserve"> </w:t>
      </w:r>
      <w:r>
        <w:rPr>
          <w:iCs/>
          <w:i/>
        </w:rPr>
        <w:t xml:space="preserve">Daniels v Campbell NO</w:t>
      </w:r>
      <w:r>
        <w:t xml:space="preserve">, the Constitutional Court held that the word</w:t>
      </w:r>
      <w:r>
        <w:t xml:space="preserve"> </w:t>
      </w:r>
      <w:r>
        <w:t xml:space="preserve">“</w:t>
      </w:r>
      <w:r>
        <w:t xml:space="preserve">spouse</w:t>
      </w:r>
      <w:r>
        <w:t xml:space="preserve">”</w:t>
      </w:r>
      <w:r>
        <w:t xml:space="preserve"> </w:t>
      </w:r>
      <w:r>
        <w:t xml:space="preserve">in the Intestate Succession Act 81 of 1987, and</w:t>
      </w:r>
      <w:r>
        <w:t xml:space="preserve"> </w:t>
      </w:r>
      <w:r>
        <w:t xml:space="preserve">“</w:t>
      </w:r>
      <w:r>
        <w:t xml:space="preserve">survivor</w:t>
      </w:r>
      <w:r>
        <w:t xml:space="preserve">”</w:t>
      </w:r>
      <w:r>
        <w:t xml:space="preserve"> </w:t>
      </w:r>
      <w:r>
        <w:t xml:space="preserve">in the Maintenance of Surviving Spouses Act 27 of 1990, include the surviving partner of a monogamous Muslim marriage. The judgment emphasised that the constitutional order rejected earlier assumptions that Muslim marriages were inherently contrary to public policy, and required the law to be interpreted consistently with dignity, equality and religious diversity.^6 In</w:t>
      </w:r>
      <w:r>
        <w:t xml:space="preserve"> </w:t>
      </w:r>
      <w:r>
        <w:rPr>
          <w:iCs/>
          <w:i/>
        </w:rPr>
        <w:t xml:space="preserve">Hassam v Jacobs NO</w:t>
      </w:r>
      <w:r>
        <w:t xml:space="preserve">, the Court extended statutory protection to a surviving spouse in a polygynous Muslim marriage, holding that exclusion on the basis of the nature of the marriage was unfair discrimination.^7 These cases show a gradual movement from non-recognition towards constitutional protection.</w:t>
      </w:r>
    </w:p>
    <w:p>
      <w:pPr>
        <w:pStyle w:val="BodyText"/>
      </w:pPr>
      <w:r>
        <w:t xml:space="preserve">The broader problem was confronted in</w:t>
      </w:r>
      <w:r>
        <w:t xml:space="preserve"> </w:t>
      </w:r>
      <w:r>
        <w:rPr>
          <w:iCs/>
          <w:i/>
        </w:rPr>
        <w:t xml:space="preserve">Women’s Legal Centre Trust</w:t>
      </w:r>
      <w:r>
        <w:t xml:space="preserve">. The Court held that the failure of the Marriage Act and the Divorce Act to recognise and regulate Muslim marriages infringed the rights to equality, dignity, children’s rights and access to courts.^8 Its order required legislative intervention.</w:t>
      </w:r>
    </w:p>
    <w:bookmarkEnd w:id="21"/>
    <w:bookmarkStart w:id="22" w:name="the-2024-legislative-response"/>
    <w:p>
      <w:pPr>
        <w:pStyle w:val="Heading3"/>
      </w:pPr>
      <w:r>
        <w:t xml:space="preserve">1.2 The 2024 legislative response</w:t>
      </w:r>
    </w:p>
    <w:p>
      <w:pPr>
        <w:pStyle w:val="FirstParagraph"/>
      </w:pPr>
      <w:r>
        <w:t xml:space="preserve">The Amendment Act inserted into the Divorce Act a definition of</w:t>
      </w:r>
      <w:r>
        <w:t xml:space="preserve"> </w:t>
      </w:r>
      <w:r>
        <w:t xml:space="preserve">“</w:t>
      </w:r>
      <w:r>
        <w:t xml:space="preserve">Muslim marriage</w:t>
      </w:r>
      <w:r>
        <w:t xml:space="preserve">”</w:t>
      </w:r>
      <w:r>
        <w:t xml:space="preserve"> </w:t>
      </w:r>
      <w:r>
        <w:t xml:space="preserve">as a marriage entered into or concluded in accordance with the tenets of Islam.^9 Amina and Farouk’s marriage falls within that definition.</w:t>
      </w:r>
    </w:p>
    <w:p>
      <w:pPr>
        <w:pStyle w:val="BodyText"/>
      </w:pPr>
      <w:r>
        <w:t xml:space="preserve">Amended section 3 provides:</w:t>
      </w:r>
    </w:p>
    <w:p>
      <w:pPr>
        <w:pStyle w:val="BlockText"/>
      </w:pPr>
      <w:r>
        <w:t xml:space="preserve">“</w:t>
      </w:r>
      <w:r>
        <w:t xml:space="preserve">A marriage, including a Muslim marriage, may be dissolved by a court by a decree of divorce …</w:t>
      </w:r>
      <w:r>
        <w:t xml:space="preserve">”</w:t>
      </w:r>
      <w:r>
        <w:t xml:space="preserve">^10</w:t>
      </w:r>
    </w:p>
    <w:p>
      <w:pPr>
        <w:pStyle w:val="FirstParagraph"/>
      </w:pPr>
      <w:r>
        <w:t xml:space="preserve">This establishes a statutory route by which a South African court may dissolve a Muslim marriage, and it is consistent with the common-law rule that a marriage is dissolved only by death or by a court decree. The civil status of the spouses, and the many consequences that attach to it, change at one identifiable moment, namely the decree (see Heaton (ed)</w:t>
      </w:r>
      <w:r>
        <w:t xml:space="preserve"> </w:t>
      </w:r>
      <w:r>
        <w:rPr>
          <w:iCs/>
          <w:i/>
        </w:rPr>
        <w:t xml:space="preserve">The Law of Divorce and Dissolution of Life Partnerships in South Africa</w:t>
      </w:r>
      <w:r>
        <w:t xml:space="preserve"> </w:t>
      </w:r>
      <w:r>
        <w:t xml:space="preserve">(Juta 2014) Part 1 on the court’s role under ss 3 and 4 of the Divorce Act [pinpoint to be added]).</w:t>
      </w:r>
    </w:p>
    <w:p>
      <w:pPr>
        <w:pStyle w:val="BodyText"/>
      </w:pPr>
      <w:r>
        <w:t xml:space="preserve">The Act does not, however, say that</w:t>
      </w:r>
      <w:r>
        <w:t xml:space="preserve"> </w:t>
      </w:r>
      <w:r>
        <w:rPr>
          <w:iCs/>
          <w:i/>
        </w:rPr>
        <w:t xml:space="preserve">talaq</w:t>
      </w:r>
      <w:r>
        <w:t xml:space="preserve"> </w:t>
      </w:r>
      <w:r>
        <w:t xml:space="preserve">is abolished or religiously invalid. Islamic law may recognise</w:t>
      </w:r>
      <w:r>
        <w:t xml:space="preserve"> </w:t>
      </w:r>
      <w:r>
        <w:rPr>
          <w:iCs/>
          <w:i/>
        </w:rPr>
        <w:t xml:space="preserve">talaq</w:t>
      </w:r>
      <w:r>
        <w:t xml:space="preserve"> </w:t>
      </w:r>
      <w:r>
        <w:t xml:space="preserve">as a form of religious dissolution, whereas South African law determines the civil consequences of a marriage. The question for the court is therefore not necessarily whether Farouk’s</w:t>
      </w:r>
      <w:r>
        <w:t xml:space="preserve"> </w:t>
      </w:r>
      <w:r>
        <w:rPr>
          <w:iCs/>
          <w:i/>
        </w:rPr>
        <w:t xml:space="preserve">talaq</w:t>
      </w:r>
      <w:r>
        <w:t xml:space="preserve"> </w:t>
      </w:r>
      <w:r>
        <w:t xml:space="preserve">was valid in Islamic law (a question on which different schools differ, and which the court is ill-placed to decide). It is whether the</w:t>
      </w:r>
      <w:r>
        <w:t xml:space="preserve"> </w:t>
      </w:r>
      <w:r>
        <w:rPr>
          <w:iCs/>
          <w:i/>
        </w:rPr>
        <w:t xml:space="preserve">talaq</w:t>
      </w:r>
      <w:r>
        <w:t xml:space="preserve"> </w:t>
      </w:r>
      <w:r>
        <w:t xml:space="preserve">removes the marriage from the Divorce Act’s framework or prevents the parties from invoking the court’s divorce jurisdiction.</w:t>
      </w:r>
    </w:p>
    <w:p>
      <w:pPr>
        <w:pStyle w:val="BodyText"/>
      </w:pPr>
      <w:r>
        <w:t xml:space="preserve">Mujuzi’s analysis is important here. He points out that the Amendment Act is silent on whether it removes a husband’s ability to terminate a marriage by</w:t>
      </w:r>
      <w:r>
        <w:t xml:space="preserve"> </w:t>
      </w:r>
      <w:r>
        <w:rPr>
          <w:iCs/>
          <w:i/>
        </w:rPr>
        <w:t xml:space="preserve">talaq</w:t>
      </w:r>
      <w:r>
        <w:t xml:space="preserve">, and equally silent on a wife’s position when seeking</w:t>
      </w:r>
      <w:r>
        <w:t xml:space="preserve"> </w:t>
      </w:r>
      <w:r>
        <w:rPr>
          <w:iCs/>
          <w:i/>
        </w:rPr>
        <w:t xml:space="preserve">khulʿ</w:t>
      </w:r>
      <w:r>
        <w:t xml:space="preserve"> </w:t>
      </w:r>
      <w:r>
        <w:t xml:space="preserve">or</w:t>
      </w:r>
      <w:r>
        <w:t xml:space="preserve"> </w:t>
      </w:r>
      <w:r>
        <w:rPr>
          <w:iCs/>
          <w:i/>
        </w:rPr>
        <w:t xml:space="preserve">faskh</w:t>
      </w:r>
      <w:r>
        <w:t xml:space="preserve">.^11 It would be too simple to say that Parliament abolished</w:t>
      </w:r>
      <w:r>
        <w:t xml:space="preserve"> </w:t>
      </w:r>
      <w:r>
        <w:rPr>
          <w:iCs/>
          <w:i/>
        </w:rPr>
        <w:t xml:space="preserve">talaq</w:t>
      </w:r>
      <w:r>
        <w:t xml:space="preserve">. The Act clearly established a civil route to divorce, but left open how Islamic and civil dissolution relate. Mujuzi’s article was written in the context of</w:t>
      </w:r>
      <w:r>
        <w:t xml:space="preserve"> </w:t>
      </w:r>
      <w:r>
        <w:rPr>
          <w:iCs/>
          <w:i/>
        </w:rPr>
        <w:t xml:space="preserve">H.A v N.A</w:t>
      </w:r>
      <w:r>
        <w:t xml:space="preserve"> </w:t>
      </w:r>
      <w:r>
        <w:t xml:space="preserve">(February 2025), and so pre-dates the later Full Bench decision discussed below.</w:t>
      </w:r>
    </w:p>
    <w:bookmarkEnd w:id="22"/>
    <w:bookmarkStart w:id="23" w:name="X8cdc14f3034aec169180680ccd0c95e867a5478"/>
    <w:p>
      <w:pPr>
        <w:pStyle w:val="Heading3"/>
      </w:pPr>
      <w:r>
        <w:t xml:space="preserve">1.3 The importance of section 6 of the Amendment Act</w:t>
      </w:r>
    </w:p>
    <w:p>
      <w:pPr>
        <w:pStyle w:val="FirstParagraph"/>
      </w:pPr>
      <w:r>
        <w:t xml:space="preserve">Section 6 is central to this case. It provides:</w:t>
      </w:r>
    </w:p>
    <w:p>
      <w:pPr>
        <w:pStyle w:val="BlockText"/>
      </w:pPr>
      <w:r>
        <w:t xml:space="preserve">“</w:t>
      </w:r>
      <w:r>
        <w:t xml:space="preserve">This Act applies to all subsisting Muslim marriages, including a Muslim marriage—</w:t>
      </w:r>
      <w:r>
        <w:t xml:space="preserve"> </w:t>
      </w:r>
      <w:r>
        <w:t xml:space="preserve">(a) which was terminated or dissolved in accordance with the tenets of Islam and where legal proceedings for the dissolution of the said Muslim marriage in terms of the Divorce Act … have been instituted but not yet finalised; and</w:t>
      </w:r>
      <w:r>
        <w:t xml:space="preserve"> </w:t>
      </w:r>
      <w:r>
        <w:t xml:space="preserve">(b) which subsisted as at 15 December 2014.</w:t>
      </w:r>
      <w:r>
        <w:t xml:space="preserve">”</w:t>
      </w:r>
      <w:r>
        <w:t xml:space="preserve">^12</w:t>
      </w:r>
    </w:p>
    <w:p>
      <w:pPr>
        <w:pStyle w:val="FirstParagraph"/>
      </w:pPr>
      <w:r>
        <w:rPr>
          <w:bCs/>
          <w:b/>
        </w:rPr>
        <w:t xml:space="preserve">Farouk’s argument.</w:t>
      </w:r>
      <w:r>
        <w:t xml:space="preserve"> </w:t>
      </w:r>
      <w:r>
        <w:t xml:space="preserve">A literal argument in his favour runs as follows. The</w:t>
      </w:r>
      <w:r>
        <w:t xml:space="preserve"> </w:t>
      </w:r>
      <w:r>
        <w:rPr>
          <w:iCs/>
          <w:i/>
        </w:rPr>
        <w:t xml:space="preserve">talaq</w:t>
      </w:r>
      <w:r>
        <w:t xml:space="preserve"> </w:t>
      </w:r>
      <w:r>
        <w:t xml:space="preserve">terminated the marriage under Islamic law before Amina instituted any proceedings. Section 6(a) refers to an Islamic termination only where Divorce Act proceedings</w:t>
      </w:r>
      <w:r>
        <w:t xml:space="preserve"> </w:t>
      </w:r>
      <w:r>
        <w:t xml:space="preserve">“</w:t>
      </w:r>
      <w:r>
        <w:t xml:space="preserve">have been instituted but not yet finalised</w:t>
      </w:r>
      <w:r>
        <w:t xml:space="preserve">”</w:t>
      </w:r>
      <w:r>
        <w:t xml:space="preserve">. A marriage terminated by</w:t>
      </w:r>
      <w:r>
        <w:t xml:space="preserve"> </w:t>
      </w:r>
      <w:r>
        <w:rPr>
          <w:iCs/>
          <w:i/>
        </w:rPr>
        <w:t xml:space="preserve">talaq</w:t>
      </w:r>
      <w:r>
        <w:t xml:space="preserve"> </w:t>
      </w:r>
      <w:r>
        <w:t xml:space="preserve">before proceedings were instituted could therefore fall outside paragraph (a), and, if it was terminated, it is not a</w:t>
      </w:r>
      <w:r>
        <w:t xml:space="preserve"> </w:t>
      </w:r>
      <w:r>
        <w:t xml:space="preserve">“</w:t>
      </w:r>
      <w:r>
        <w:t xml:space="preserve">subsisting</w:t>
      </w:r>
      <w:r>
        <w:t xml:space="preserve">”</w:t>
      </w:r>
      <w:r>
        <w:t xml:space="preserve"> </w:t>
      </w:r>
      <w:r>
        <w:t xml:space="preserve">marriage to which the opening words apply.</w:t>
      </w:r>
    </w:p>
    <w:p>
      <w:pPr>
        <w:pStyle w:val="BodyText"/>
      </w:pPr>
      <w:r>
        <w:rPr>
          <w:bCs/>
          <w:b/>
        </w:rPr>
        <w:t xml:space="preserve">The uncertainty in the case law.</w:t>
      </w:r>
      <w:r>
        <w:t xml:space="preserve"> </w:t>
      </w:r>
      <w:r>
        <w:t xml:space="preserve">This is the difficulty considered in</w:t>
      </w:r>
      <w:r>
        <w:t xml:space="preserve"> </w:t>
      </w:r>
      <w:r>
        <w:rPr>
          <w:iCs/>
          <w:i/>
        </w:rPr>
        <w:t xml:space="preserve">H.A v N.A</w:t>
      </w:r>
      <w:r>
        <w:t xml:space="preserve">. The husband issued</w:t>
      </w:r>
      <w:r>
        <w:t xml:space="preserve"> </w:t>
      </w:r>
      <w:r>
        <w:rPr>
          <w:iCs/>
          <w:i/>
        </w:rPr>
        <w:t xml:space="preserve">talaq</w:t>
      </w:r>
      <w:r>
        <w:t xml:space="preserve"> </w:t>
      </w:r>
      <w:r>
        <w:t xml:space="preserve">before the wife instituted divorce proceedings, and argued that the marriage had already ended, so that she was not a</w:t>
      </w:r>
      <w:r>
        <w:t xml:space="preserve"> </w:t>
      </w:r>
      <w:r>
        <w:t xml:space="preserve">“</w:t>
      </w:r>
      <w:r>
        <w:t xml:space="preserve">spouse</w:t>
      </w:r>
      <w:r>
        <w:t xml:space="preserve">”</w:t>
      </w:r>
      <w:r>
        <w:t xml:space="preserve"> </w:t>
      </w:r>
      <w:r>
        <w:t xml:space="preserve">entitled to Rule 43 relief. The court identified section 6 as central and formulated the question whether a</w:t>
      </w:r>
      <w:r>
        <w:t xml:space="preserve"> </w:t>
      </w:r>
      <w:r>
        <w:rPr>
          <w:iCs/>
          <w:i/>
        </w:rPr>
        <w:t xml:space="preserve">talaq</w:t>
      </w:r>
      <w:r>
        <w:t xml:space="preserve"> </w:t>
      </w:r>
      <w:r>
        <w:t xml:space="preserve">issued before proceedings left no marriage to be dissolved under the Divorce Act.^13 It did not finally resolve it, holding that the issue required extensive interpretation and was better decided in the main action than at the interlocutory Rule 43 stage.^14</w:t>
      </w:r>
      <w:r>
        <w:t xml:space="preserve"> </w:t>
      </w:r>
      <w:r>
        <w:rPr>
          <w:iCs/>
          <w:i/>
        </w:rPr>
        <w:t xml:space="preserve">H.A v N.A</w:t>
      </w:r>
      <w:r>
        <w:t xml:space="preserve"> </w:t>
      </w:r>
      <w:r>
        <w:t xml:space="preserve">is therefore not authority that</w:t>
      </w:r>
      <w:r>
        <w:t xml:space="preserve"> </w:t>
      </w:r>
      <w:r>
        <w:rPr>
          <w:iCs/>
          <w:i/>
        </w:rPr>
        <w:t xml:space="preserve">talaq</w:t>
      </w:r>
      <w:r>
        <w:t xml:space="preserve"> </w:t>
      </w:r>
      <w:r>
        <w:t xml:space="preserve">terminates a Muslim marriage for civil purposes, and it is not authority against that proposition either.</w:t>
      </w:r>
    </w:p>
    <w:p>
      <w:pPr>
        <w:pStyle w:val="BodyText"/>
      </w:pPr>
      <w:r>
        <w:rPr>
          <w:bCs/>
          <w:b/>
        </w:rPr>
        <w:t xml:space="preserve">Why Amina’s reading should prevail.</w:t>
      </w:r>
      <w:r>
        <w:t xml:space="preserve"> </w:t>
      </w:r>
      <w:r>
        <w:t xml:space="preserve">There are four reasons.</w:t>
      </w:r>
    </w:p>
    <w:p>
      <w:pPr>
        <w:pStyle w:val="BodyText"/>
      </w:pPr>
      <w:r>
        <w:t xml:space="preserve">First, section 6(b). Amina and Farouk married in 2012, so their marriage</w:t>
      </w:r>
      <w:r>
        <w:t xml:space="preserve"> </w:t>
      </w:r>
      <w:r>
        <w:t xml:space="preserve">“</w:t>
      </w:r>
      <w:r>
        <w:t xml:space="preserve">subsisted as at 15 December 2014</w:t>
      </w:r>
      <w:r>
        <w:t xml:space="preserve">”</w:t>
      </w:r>
      <w:r>
        <w:t xml:space="preserve">. Paragraph (b) is a separate limb joined to (a) by</w:t>
      </w:r>
      <w:r>
        <w:t xml:space="preserve"> </w:t>
      </w:r>
      <w:r>
        <w:t xml:space="preserve">“</w:t>
      </w:r>
      <w:r>
        <w:t xml:space="preserve">and</w:t>
      </w:r>
      <w:r>
        <w:t xml:space="preserve">”</w:t>
      </w:r>
      <w:r>
        <w:t xml:space="preserve">, and the opening words extend the Act to</w:t>
      </w:r>
      <w:r>
        <w:t xml:space="preserve"> </w:t>
      </w:r>
      <w:r>
        <w:rPr>
          <w:iCs/>
          <w:i/>
        </w:rPr>
        <w:t xml:space="preserve">all</w:t>
      </w:r>
      <w:r>
        <w:t xml:space="preserve"> </w:t>
      </w:r>
      <w:r>
        <w:t xml:space="preserve">subsisting Muslim marriages</w:t>
      </w:r>
      <w:r>
        <w:t xml:space="preserve"> </w:t>
      </w:r>
      <w:r>
        <w:t xml:space="preserve">“</w:t>
      </w:r>
      <w:r>
        <w:t xml:space="preserve">including</w:t>
      </w:r>
      <w:r>
        <w:t xml:space="preserve">”</w:t>
      </w:r>
      <w:r>
        <w:t xml:space="preserve"> </w:t>
      </w:r>
      <w:r>
        <w:t xml:space="preserve">the two categories. Farouk cannot rely on (a) while ignoring (b).</w:t>
      </w:r>
    </w:p>
    <w:p>
      <w:pPr>
        <w:pStyle w:val="BodyText"/>
      </w:pPr>
      <w:r>
        <w:t xml:space="preserve">Second, the meaning of</w:t>
      </w:r>
      <w:r>
        <w:t xml:space="preserve"> </w:t>
      </w:r>
      <w:r>
        <w:t xml:space="preserve">“</w:t>
      </w:r>
      <w:r>
        <w:t xml:space="preserve">subsisting</w:t>
      </w:r>
      <w:r>
        <w:t xml:space="preserve">”</w:t>
      </w:r>
      <w:r>
        <w:t xml:space="preserve">. Farouk’s argument assumes that the marriage has ended. But section 3 provides that a marriage, including a Muslim marriage, is dissolved by a court by decree. For civil-law purposes a marriage therefore subsists until a decree is granted. A private religious act, whatever its religious force, is not a decree. On this reading the marriage is still a subsisting Muslim marriage to which the Act applies, and the reference in paragraph (a) to a marriage</w:t>
      </w:r>
      <w:r>
        <w:t xml:space="preserve"> </w:t>
      </w:r>
      <w:r>
        <w:t xml:space="preserve">“</w:t>
      </w:r>
      <w:r>
        <w:t xml:space="preserve">terminated or dissolved in accordance with the tenets of Islam</w:t>
      </w:r>
      <w:r>
        <w:t xml:space="preserve">”</w:t>
      </w:r>
      <w:r>
        <w:t xml:space="preserve"> </w:t>
      </w:r>
      <w:r>
        <w:t xml:space="preserve">is best read as confirming that an Islamic termination does not remove a marriage from the Act, not as making such a marriage fall outside it.</w:t>
      </w:r>
    </w:p>
    <w:p>
      <w:pPr>
        <w:pStyle w:val="BodyText"/>
      </w:pPr>
      <w:r>
        <w:t xml:space="preserve">Third, the timing problem can be cured. If Amina now institutes divorce proceedings, those proceedings are</w:t>
      </w:r>
      <w:r>
        <w:t xml:space="preserve"> </w:t>
      </w:r>
      <w:r>
        <w:t xml:space="preserve">“</w:t>
      </w:r>
      <w:r>
        <w:t xml:space="preserve">instituted but not yet finalised</w:t>
      </w:r>
      <w:r>
        <w:t xml:space="preserve">”</w:t>
      </w:r>
      <w:r>
        <w:t xml:space="preserve">, and paragraph (a) is satisfied even on Farouk’s own reading. A construction under which the Act’s protection depends on which spouse reaches the court first would produce arbitrary and gender-skewed results, which is a strong reason to reject it.</w:t>
      </w:r>
    </w:p>
    <w:p>
      <w:pPr>
        <w:pStyle w:val="BodyText"/>
      </w:pPr>
      <w:r>
        <w:t xml:space="preserve">Fourth, the Act’s wider scheme. Amendments to ss 6, 7 and 9 of the Divorce Act presuppose judicial involvement, and would be defeated if a husband could avoid them by pronouncing</w:t>
      </w:r>
      <w:r>
        <w:t xml:space="preserve"> </w:t>
      </w:r>
      <w:r>
        <w:rPr>
          <w:iCs/>
          <w:i/>
        </w:rPr>
        <w:t xml:space="preserve">talaq</w:t>
      </w:r>
      <w:r>
        <w:t xml:space="preserve"> </w:t>
      </w:r>
      <w:r>
        <w:t xml:space="preserve">before his wife issued summons.</w:t>
      </w:r>
    </w:p>
    <w:p>
      <w:pPr>
        <w:pStyle w:val="BodyText"/>
      </w:pPr>
      <w:r>
        <w:rPr>
          <w:bCs/>
          <w:b/>
        </w:rPr>
        <w:t xml:space="preserve">The Full Bench decision.</w:t>
      </w:r>
      <w:r>
        <w:t xml:space="preserve"> </w:t>
      </w:r>
      <w:r>
        <w:t xml:space="preserve">The later decision in</w:t>
      </w:r>
      <w:r>
        <w:t xml:space="preserve"> </w:t>
      </w:r>
      <w:r>
        <w:rPr>
          <w:iCs/>
          <w:i/>
        </w:rPr>
        <w:t xml:space="preserve">E.S v H.Z.A</w:t>
      </w:r>
      <w:r>
        <w:t xml:space="preserve"> </w:t>
      </w:r>
      <w:r>
        <w:t xml:space="preserve">provides stronger guidance. A Full Bench of the Gauteng Division, Johannesburg, held that the amended Divorce Act applies to Muslim marriages, and that a prior</w:t>
      </w:r>
      <w:r>
        <w:t xml:space="preserve"> </w:t>
      </w:r>
      <w:r>
        <w:rPr>
          <w:iCs/>
          <w:i/>
        </w:rPr>
        <w:t xml:space="preserve">talaq</w:t>
      </w:r>
      <w:r>
        <w:t xml:space="preserve"> </w:t>
      </w:r>
      <w:r>
        <w:t xml:space="preserve">does not prevent a spouse from invoking the civil divorce process or obtaining Rule 43 relief. The court interpreted</w:t>
      </w:r>
      <w:r>
        <w:t xml:space="preserve"> </w:t>
      </w:r>
      <w:r>
        <w:t xml:space="preserve">“</w:t>
      </w:r>
      <w:r>
        <w:t xml:space="preserve">spouse</w:t>
      </w:r>
      <w:r>
        <w:t xml:space="preserve">”</w:t>
      </w:r>
      <w:r>
        <w:t xml:space="preserve"> </w:t>
      </w:r>
      <w:r>
        <w:t xml:space="preserve">in Rule 43 purposively to include a spouse in a Muslim marriage notwithstanding a prior</w:t>
      </w:r>
      <w:r>
        <w:t xml:space="preserve"> </w:t>
      </w:r>
      <w:r>
        <w:rPr>
          <w:iCs/>
          <w:i/>
        </w:rPr>
        <w:t xml:space="preserve">talaq</w:t>
      </w:r>
      <w:r>
        <w:t xml:space="preserve">.^15 This addresses the point left open in</w:t>
      </w:r>
      <w:r>
        <w:t xml:space="preserve"> </w:t>
      </w:r>
      <w:r>
        <w:rPr>
          <w:iCs/>
          <w:i/>
        </w:rPr>
        <w:t xml:space="preserve">H.A v N.A</w:t>
      </w:r>
      <w:r>
        <w:t xml:space="preserve">. It confirms that a</w:t>
      </w:r>
      <w:r>
        <w:t xml:space="preserve"> </w:t>
      </w:r>
      <w:r>
        <w:rPr>
          <w:iCs/>
          <w:i/>
        </w:rPr>
        <w:t xml:space="preserve">talaq</w:t>
      </w:r>
      <w:r>
        <w:t xml:space="preserve"> </w:t>
      </w:r>
      <w:r>
        <w:t xml:space="preserve">cannot be used to defeat the rights that the 2024 amendments were designed to provide, and it rejects any</w:t>
      </w:r>
      <w:r>
        <w:t xml:space="preserve"> </w:t>
      </w:r>
      <w:r>
        <w:t xml:space="preserve">“</w:t>
      </w:r>
      <w:r>
        <w:t xml:space="preserve">first come, first served</w:t>
      </w:r>
      <w:r>
        <w:t xml:space="preserve">”</w:t>
      </w:r>
      <w:r>
        <w:t xml:space="preserve"> </w:t>
      </w:r>
      <w:r>
        <w:t xml:space="preserve">approach that would let the order in which the parties act determine whether civil protections apply. As a decision of a Full Bench it binds the single judges of that Division, and it is persuasive elsewhere.</w:t>
      </w:r>
    </w:p>
    <w:bookmarkEnd w:id="23"/>
    <w:bookmarkStart w:id="24" w:name="application-to-amina-and-farouk"/>
    <w:p>
      <w:pPr>
        <w:pStyle w:val="Heading3"/>
      </w:pPr>
      <w:r>
        <w:t xml:space="preserve">1.4 Application to Amina and Farouk</w:t>
      </w:r>
    </w:p>
    <w:p>
      <w:pPr>
        <w:pStyle w:val="FirstParagraph"/>
      </w:pPr>
      <w:r>
        <w:t xml:space="preserve">The marriage was concluded in 2012 and falls within the definition of a Muslim marriage and within the category of marriages that subsisted on 15 December 2014. Farouk’s</w:t>
      </w:r>
      <w:r>
        <w:t xml:space="preserve"> </w:t>
      </w:r>
      <w:r>
        <w:rPr>
          <w:iCs/>
          <w:i/>
        </w:rPr>
        <w:t xml:space="preserve">talaq</w:t>
      </w:r>
      <w:r>
        <w:t xml:space="preserve"> </w:t>
      </w:r>
      <w:r>
        <w:t xml:space="preserve">was issued in March 2025, almost a year after the Amendment Act commenced, so there is no retrospectivity problem.</w:t>
      </w:r>
    </w:p>
    <w:p>
      <w:pPr>
        <w:pStyle w:val="BodyText"/>
      </w:pPr>
      <w:r>
        <w:t xml:space="preserve">The preferable interpretation is that Amina remains entitled to institute civil divorce proceedings. The</w:t>
      </w:r>
      <w:r>
        <w:t xml:space="preserve"> </w:t>
      </w:r>
      <w:r>
        <w:rPr>
          <w:iCs/>
          <w:i/>
        </w:rPr>
        <w:t xml:space="preserve">talaq</w:t>
      </w:r>
      <w:r>
        <w:t xml:space="preserve"> </w:t>
      </w:r>
      <w:r>
        <w:t xml:space="preserve">may have religious consequences, but it should not be treated as ousting the jurisdiction of the South African courts or extinguishing her statutory rights.</w:t>
      </w:r>
    </w:p>
    <w:p>
      <w:pPr>
        <w:pStyle w:val="BodyText"/>
      </w:pPr>
      <w:r>
        <w:t xml:space="preserve">The court should accordingly refuse Farouk’s declarator in the broad form that his</w:t>
      </w:r>
      <w:r>
        <w:t xml:space="preserve"> </w:t>
      </w:r>
      <w:r>
        <w:rPr>
          <w:iCs/>
          <w:i/>
        </w:rPr>
        <w:t xml:space="preserve">talaq</w:t>
      </w:r>
      <w:r>
        <w:t xml:space="preserve"> </w:t>
      </w:r>
      <w:r>
        <w:t xml:space="preserve">“</w:t>
      </w:r>
      <w:r>
        <w:t xml:space="preserve">lawfully dissolved</w:t>
      </w:r>
      <w:r>
        <w:t xml:space="preserve">”</w:t>
      </w:r>
      <w:r>
        <w:t xml:space="preserve"> </w:t>
      </w:r>
      <w:r>
        <w:t xml:space="preserve">the marriage for all purposes. The appropriate order is to decline the declaration, to state that any religious consequences of the</w:t>
      </w:r>
      <w:r>
        <w:t xml:space="preserve"> </w:t>
      </w:r>
      <w:r>
        <w:rPr>
          <w:iCs/>
          <w:i/>
        </w:rPr>
        <w:t xml:space="preserve">talaq</w:t>
      </w:r>
      <w:r>
        <w:t xml:space="preserve"> </w:t>
      </w:r>
      <w:r>
        <w:t xml:space="preserve">do not prevent the court from determining the parties’ civil status, and to leave Farouk free to institute or counterclaim for a divorce under the Divorce Act, in which his</w:t>
      </w:r>
      <w:r>
        <w:t xml:space="preserve"> </w:t>
      </w:r>
      <w:r>
        <w:rPr>
          <w:iCs/>
          <w:i/>
        </w:rPr>
        <w:t xml:space="preserve">talaq</w:t>
      </w:r>
      <w:r>
        <w:t xml:space="preserve"> </w:t>
      </w:r>
      <w:r>
        <w:t xml:space="preserve">may be relied on as evidence that the marriage has broken down irretrievably. A court also has a discretion whether to grant a declaratory order under s 21(1)(c) of the Superior Courts Act 10 of 2013, and it would be inappropriate to exercise it in favour of a unilateral private act where the statute prescribes a judicial route and the other spouse opposes.</w:t>
      </w:r>
    </w:p>
    <w:bookmarkEnd w:id="24"/>
    <w:bookmarkEnd w:id="25"/>
    <w:bookmarkStart w:id="33" w:name="Xee589dd567013339000a545aadebc1fd688232b"/>
    <w:p>
      <w:pPr>
        <w:pStyle w:val="Heading2"/>
      </w:pPr>
      <w:r>
        <w:t xml:space="preserve">2. Constitutional implications of unilateral</w:t>
      </w:r>
      <w:r>
        <w:t xml:space="preserve"> </w:t>
      </w:r>
      <w:r>
        <w:rPr>
          <w:iCs/>
          <w:i/>
        </w:rPr>
        <w:t xml:space="preserve">talaq</w:t>
      </w:r>
    </w:p>
    <w:p>
      <w:pPr>
        <w:pStyle w:val="FirstParagraph"/>
      </w:pPr>
      <w:r>
        <w:t xml:space="preserve">The constitutional analysis engages equality, dignity, religious freedom, access to courts, children’s rights and the constitutional interpretation of legislation.</w:t>
      </w:r>
    </w:p>
    <w:bookmarkStart w:id="26" w:name="equality"/>
    <w:p>
      <w:pPr>
        <w:pStyle w:val="Heading3"/>
      </w:pPr>
      <w:r>
        <w:t xml:space="preserve">2.1 Equality</w:t>
      </w:r>
    </w:p>
    <w:p>
      <w:pPr>
        <w:pStyle w:val="FirstParagraph"/>
      </w:pPr>
      <w:r>
        <w:t xml:space="preserve">Section 9(1) of the Constitution provides that everyone is equal before the law and has the right to equal protection and benefit of the law. Section 9(3) prohibits unfair discrimination on grounds including sex and religion, and discrimination on a listed ground is presumed unfair under s 9(5).</w:t>
      </w:r>
    </w:p>
    <w:p>
      <w:pPr>
        <w:pStyle w:val="BodyText"/>
      </w:pPr>
      <w:r>
        <w:t xml:space="preserve">The analysis in</w:t>
      </w:r>
      <w:r>
        <w:t xml:space="preserve"> </w:t>
      </w:r>
      <w:r>
        <w:rPr>
          <w:iCs/>
          <w:i/>
        </w:rPr>
        <w:t xml:space="preserve">Harksen v Lane NO</w:t>
      </w:r>
      <w:r>
        <w:t xml:space="preserve"> </w:t>
      </w:r>
      <w:r>
        <w:t xml:space="preserve">asks whether there is differentiation, whether it amounts to discrimination, and, if so, whether it is unfair.^16 A mechanism of unilateral</w:t>
      </w:r>
      <w:r>
        <w:t xml:space="preserve"> </w:t>
      </w:r>
      <w:r>
        <w:rPr>
          <w:iCs/>
          <w:i/>
        </w:rPr>
        <w:t xml:space="preserve">talaq</w:t>
      </w:r>
      <w:r>
        <w:t xml:space="preserve"> </w:t>
      </w:r>
      <w:r>
        <w:t xml:space="preserve">traditionally available to the husband but not correspondingly to the wife raises an obvious sex-based concern. In</w:t>
      </w:r>
      <w:r>
        <w:t xml:space="preserve"> </w:t>
      </w:r>
      <w:r>
        <w:rPr>
          <w:iCs/>
          <w:i/>
        </w:rPr>
        <w:t xml:space="preserve">President of the Republic of South Africa v Hugo</w:t>
      </w:r>
      <w:r>
        <w:t xml:space="preserve"> </w:t>
      </w:r>
      <w:r>
        <w:t xml:space="preserve">the Court explained that the impact of differentiation on a vulnerable group is a central consideration.^17 In</w:t>
      </w:r>
      <w:r>
        <w:t xml:space="preserve"> </w:t>
      </w:r>
      <w:r>
        <w:rPr>
          <w:iCs/>
          <w:i/>
        </w:rPr>
        <w:t xml:space="preserve">Gumede v President of the Republic of South Africa</w:t>
      </w:r>
      <w:r>
        <w:t xml:space="preserve"> </w:t>
      </w:r>
      <w:r>
        <w:t xml:space="preserve">the Court held that the proprietary consequences of customary marriages discriminated unfairly against women,^18 and in</w:t>
      </w:r>
      <w:r>
        <w:t xml:space="preserve"> </w:t>
      </w:r>
      <w:r>
        <w:rPr>
          <w:iCs/>
          <w:i/>
        </w:rPr>
        <w:t xml:space="preserve">Mayelane v Ngwenyama</w:t>
      </w:r>
      <w:r>
        <w:t xml:space="preserve"> </w:t>
      </w:r>
      <w:r>
        <w:t xml:space="preserve">it held that a status-altering act affecting a spouse, there a second customary marriage, cannot be validly completed without that spouse’s participation.^19 The same logic applies to the dissolution of a marriage by one spouse acting alone.</w:t>
      </w:r>
    </w:p>
    <w:p>
      <w:pPr>
        <w:pStyle w:val="BodyText"/>
      </w:pPr>
      <w:r>
        <w:t xml:space="preserve">These authorities do not mean that Islamic law itself must be declared unconstitutional. They show that where a religious or customary rule has civil consequences, those consequences must operate consistently with the Constitution.</w:t>
      </w:r>
    </w:p>
    <w:bookmarkEnd w:id="26"/>
    <w:bookmarkStart w:id="27" w:name="dignity"/>
    <w:p>
      <w:pPr>
        <w:pStyle w:val="Heading3"/>
      </w:pPr>
      <w:r>
        <w:t xml:space="preserve">2.2 Dignity</w:t>
      </w:r>
    </w:p>
    <w:p>
      <w:pPr>
        <w:pStyle w:val="FirstParagraph"/>
      </w:pPr>
      <w:r>
        <w:t xml:space="preserve">Section 10 protects human dignity. Being repudiated without notice, a hearing or reasons treats a spouse as the object of a unilateral decision rather than an equal partner. The consequences are practical as well as symbolic: loss of the home, loss of support, uncertainty about property and exclusion from decisions about children. The Constitutional Court’s reasoning in</w:t>
      </w:r>
      <w:r>
        <w:t xml:space="preserve"> </w:t>
      </w:r>
      <w:r>
        <w:rPr>
          <w:iCs/>
          <w:i/>
        </w:rPr>
        <w:t xml:space="preserve">Daniels</w:t>
      </w:r>
      <w:r>
        <w:t xml:space="preserve"> </w:t>
      </w:r>
      <w:r>
        <w:t xml:space="preserve">and in</w:t>
      </w:r>
      <w:r>
        <w:t xml:space="preserve"> </w:t>
      </w:r>
      <w:r>
        <w:rPr>
          <w:iCs/>
          <w:i/>
        </w:rPr>
        <w:t xml:space="preserve">Women’s Legal Centre Trust</w:t>
      </w:r>
      <w:r>
        <w:t xml:space="preserve"> </w:t>
      </w:r>
      <w:r>
        <w:t xml:space="preserve">recognised the equal worth of persons regardless of religious affiliation, and the vulnerability of Muslim wives in particular.</w:t>
      </w:r>
    </w:p>
    <w:p>
      <w:pPr>
        <w:pStyle w:val="BodyText"/>
      </w:pPr>
      <w:r>
        <w:t xml:space="preserve">At the same time, dignity includes the ability to practise one’s religion freely. The correct approach is therefore not to characterise</w:t>
      </w:r>
      <w:r>
        <w:t xml:space="preserve"> </w:t>
      </w:r>
      <w:r>
        <w:rPr>
          <w:iCs/>
          <w:i/>
        </w:rPr>
        <w:t xml:space="preserve">talaq</w:t>
      </w:r>
      <w:r>
        <w:t xml:space="preserve"> </w:t>
      </w:r>
      <w:r>
        <w:t xml:space="preserve">itself as inherently unconstitutional. The question is whether giving</w:t>
      </w:r>
      <w:r>
        <w:t xml:space="preserve"> </w:t>
      </w:r>
      <w:r>
        <w:rPr>
          <w:iCs/>
          <w:i/>
        </w:rPr>
        <w:t xml:space="preserve">talaq</w:t>
      </w:r>
      <w:r>
        <w:t xml:space="preserve"> </w:t>
      </w:r>
      <w:r>
        <w:t xml:space="preserve">automatic and complete civil-law effect, without judicial oversight, would undermine the constitutional rights of the affected spouse. On the analysis above, it would.</w:t>
      </w:r>
    </w:p>
    <w:bookmarkEnd w:id="27"/>
    <w:bookmarkStart w:id="28" w:name="religious-freedom"/>
    <w:p>
      <w:pPr>
        <w:pStyle w:val="Heading3"/>
      </w:pPr>
      <w:r>
        <w:t xml:space="preserve">2.3 Religious freedom</w:t>
      </w:r>
    </w:p>
    <w:p>
      <w:pPr>
        <w:pStyle w:val="FirstParagraph"/>
      </w:pPr>
      <w:r>
        <w:t xml:space="preserve">Section 15 protects freedom of conscience, religion, thought, belief and opinion, and section 31 protects the right of members of religious communities to practise their religion, subject to the Bill of Rights. Section 15(3) contemplates legislation recognising marriages concluded under any tradition or system of religious, personal or family law, but s 15(3)(b) requires such recognition to be consistent with the Constitution.</w:t>
      </w:r>
    </w:p>
    <w:p>
      <w:pPr>
        <w:pStyle w:val="BodyText"/>
      </w:pPr>
      <w:r>
        <w:t xml:space="preserve">Farouk’s strongest argument is that a requirement of civil judicial dissolution should not be read as abolishing a religious practice recognised in Islamic law. This argument has force, and Mujuzi warns against reading the Act as if Parliament expressly abolished</w:t>
      </w:r>
      <w:r>
        <w:t xml:space="preserve"> </w:t>
      </w:r>
      <w:r>
        <w:rPr>
          <w:iCs/>
          <w:i/>
        </w:rPr>
        <w:t xml:space="preserve">talaq</w:t>
      </w:r>
      <w:r>
        <w:t xml:space="preserve">.^20 However, religious freedom does not mean that every religious act automatically determines civil status. In</w:t>
      </w:r>
      <w:r>
        <w:t xml:space="preserve"> </w:t>
      </w:r>
      <w:r>
        <w:rPr>
          <w:iCs/>
          <w:i/>
        </w:rPr>
        <w:t xml:space="preserve">Christian Education South Africa v Minister of Education</w:t>
      </w:r>
      <w:r>
        <w:t xml:space="preserve"> </w:t>
      </w:r>
      <w:r>
        <w:t xml:space="preserve">the Court recognised the importance of religious freedom but confirmed that religious rights exist within the constitutional framework and may be limited where justified.^21 Section 31(2) provides that community rights may not be exercised inconsistently with the Bill of Rights. The right to practise one’s religion does not include a right to alter another person’s civil status without her participation.</w:t>
      </w:r>
    </w:p>
    <w:p>
      <w:pPr>
        <w:pStyle w:val="BodyText"/>
      </w:pPr>
      <w:r>
        <w:t xml:space="preserve">The court should therefore adopt an accommodationist approach. The</w:t>
      </w:r>
      <w:r>
        <w:t xml:space="preserve"> </w:t>
      </w:r>
      <w:r>
        <w:rPr>
          <w:iCs/>
          <w:i/>
        </w:rPr>
        <w:t xml:space="preserve">talaq</w:t>
      </w:r>
      <w:r>
        <w:t xml:space="preserve"> </w:t>
      </w:r>
      <w:r>
        <w:t xml:space="preserve">may be recognised as a religious act, and the court need not and should not decide its religious validity, while the civil consequences of the marriage remain governed by the Divorce Act.</w:t>
      </w:r>
    </w:p>
    <w:bookmarkEnd w:id="28"/>
    <w:bookmarkStart w:id="29" w:name="access-to-courts"/>
    <w:p>
      <w:pPr>
        <w:pStyle w:val="Heading3"/>
      </w:pPr>
      <w:r>
        <w:t xml:space="preserve">2.4 Access to courts</w:t>
      </w:r>
    </w:p>
    <w:p>
      <w:pPr>
        <w:pStyle w:val="FirstParagraph"/>
      </w:pPr>
      <w:r>
        <w:t xml:space="preserve">Section 34 guarantees access to courts for the resolution of disputes. This is especially important because the 2024 amendments were designed to correct the historical exclusion of Muslim spouses from statutory divorce protections. If Farouk’s</w:t>
      </w:r>
      <w:r>
        <w:t xml:space="preserve"> </w:t>
      </w:r>
      <w:r>
        <w:rPr>
          <w:iCs/>
          <w:i/>
        </w:rPr>
        <w:t xml:space="preserve">talaq</w:t>
      </w:r>
      <w:r>
        <w:t xml:space="preserve"> </w:t>
      </w:r>
      <w:r>
        <w:t xml:space="preserve">were treated as automatically preventing Amina from approaching a court, she would lose the very mechanisms designed to protect her. The reasoning in</w:t>
      </w:r>
      <w:r>
        <w:t xml:space="preserve"> </w:t>
      </w:r>
      <w:r>
        <w:rPr>
          <w:iCs/>
          <w:i/>
        </w:rPr>
        <w:t xml:space="preserve">E.S v H.Z.A</w:t>
      </w:r>
      <w:r>
        <w:t xml:space="preserve"> </w:t>
      </w:r>
      <w:r>
        <w:t xml:space="preserve">ensures that a religious termination cannot be used to defeat the procedural and financial safeguards provided by South African law.^22</w:t>
      </w:r>
    </w:p>
    <w:bookmarkEnd w:id="29"/>
    <w:bookmarkStart w:id="30" w:name="childrens-rights"/>
    <w:p>
      <w:pPr>
        <w:pStyle w:val="Heading3"/>
      </w:pPr>
      <w:r>
        <w:t xml:space="preserve">2.5 Children’s rights</w:t>
      </w:r>
    </w:p>
    <w:p>
      <w:pPr>
        <w:pStyle w:val="FirstParagraph"/>
      </w:pPr>
      <w:r>
        <w:t xml:space="preserve">Section 28(2) provides that a child’s best interests are of paramount importance in every matter concerning the child. The Amendment Act extended section 6 of the Divorce Act to minor and dependent children of Muslim marriages.^23 The facts do not state whether Amina and Farouk have children, but the amendment shows the importance Parliament attached to judicial oversight, since a unilateral</w:t>
      </w:r>
      <w:r>
        <w:t xml:space="preserve"> </w:t>
      </w:r>
      <w:r>
        <w:rPr>
          <w:iCs/>
          <w:i/>
        </w:rPr>
        <w:t xml:space="preserve">talaq</w:t>
      </w:r>
      <w:r>
        <w:t xml:space="preserve"> </w:t>
      </w:r>
      <w:r>
        <w:t xml:space="preserve">makes no provision for care, contact or maintenance.</w:t>
      </w:r>
    </w:p>
    <w:bookmarkEnd w:id="30"/>
    <w:bookmarkStart w:id="31" w:name="X619017b758bfbcc8a84aefbc2b37106d478da57"/>
    <w:p>
      <w:pPr>
        <w:pStyle w:val="Heading3"/>
      </w:pPr>
      <w:r>
        <w:t xml:space="preserve">2.6 Section 39(2) and constitutional interpretation</w:t>
      </w:r>
    </w:p>
    <w:p>
      <w:pPr>
        <w:pStyle w:val="FirstParagraph"/>
      </w:pPr>
      <w:r>
        <w:t xml:space="preserve">Section 39(2) requires every court, when interpreting legislation, to promote the spirit, purport and objects of the Bill of Rights. The court must avoid an interpretation of section 6 that recreates the exclusion identified in</w:t>
      </w:r>
      <w:r>
        <w:t xml:space="preserve"> </w:t>
      </w:r>
      <w:r>
        <w:rPr>
          <w:iCs/>
          <w:i/>
        </w:rPr>
        <w:t xml:space="preserve">Women’s Legal Centre Trust</w:t>
      </w:r>
      <w:r>
        <w:t xml:space="preserve">. The interpretative choice should favour a construction that preserves Amina’s access to the courts and the substantive protections of the Divorce Act while respecting the religious significance of</w:t>
      </w:r>
      <w:r>
        <w:t xml:space="preserve"> </w:t>
      </w:r>
      <w:r>
        <w:rPr>
          <w:iCs/>
          <w:i/>
        </w:rPr>
        <w:t xml:space="preserve">talaq</w:t>
      </w:r>
      <w:r>
        <w:t xml:space="preserve">. The wider constitutional order also points the same way: section 8(2) applies the Bill of Rights to private disputes where applicable, and section 7(2) obliges the state to protect rights, which is the duty the Amendment Act discharges.</w:t>
      </w:r>
    </w:p>
    <w:bookmarkEnd w:id="31"/>
    <w:bookmarkStart w:id="32" w:name="limitation-analysis"/>
    <w:p>
      <w:pPr>
        <w:pStyle w:val="Heading3"/>
      </w:pPr>
      <w:r>
        <w:t xml:space="preserve">2.7 Limitation analysis</w:t>
      </w:r>
    </w:p>
    <w:p>
      <w:pPr>
        <w:pStyle w:val="FirstParagraph"/>
      </w:pPr>
      <w:r>
        <w:t xml:space="preserve">If giving priority to the judicial route were found to limit Farouk’s religious freedom, the limitation would be assessed under section 36.^24 The purpose, protecting equality, dignity, access to courts and vulnerable spouses and children, is compelling, and it is the very purpose identified in</w:t>
      </w:r>
      <w:r>
        <w:t xml:space="preserve"> </w:t>
      </w:r>
      <w:r>
        <w:rPr>
          <w:iCs/>
          <w:i/>
        </w:rPr>
        <w:t xml:space="preserve">Women’s Legal Centre Trust</w:t>
      </w:r>
      <w:r>
        <w:t xml:space="preserve">. The limitation is closely related to that purpose. Its extent is modest, since Farouk keeps his religious liberty and may regard the</w:t>
      </w:r>
      <w:r>
        <w:t xml:space="preserve"> </w:t>
      </w:r>
      <w:r>
        <w:rPr>
          <w:iCs/>
          <w:i/>
        </w:rPr>
        <w:t xml:space="preserve">talaq</w:t>
      </w:r>
      <w:r>
        <w:t xml:space="preserve"> </w:t>
      </w:r>
      <w:r>
        <w:t xml:space="preserve">as religiously effective, and only its civil effect is withheld. There is no less restrictive means that achieves the same protection: a rule that allowed unilateral</w:t>
      </w:r>
      <w:r>
        <w:t xml:space="preserve"> </w:t>
      </w:r>
      <w:r>
        <w:rPr>
          <w:iCs/>
          <w:i/>
        </w:rPr>
        <w:t xml:space="preserve">talaq</w:t>
      </w:r>
      <w:r>
        <w:t xml:space="preserve"> </w:t>
      </w:r>
      <w:r>
        <w:t xml:space="preserve">to extinguish a spouse’s statutory rights without supervision would leave the vulnerability intact.</w:t>
      </w:r>
    </w:p>
    <w:bookmarkEnd w:id="32"/>
    <w:bookmarkEnd w:id="33"/>
    <w:bookmarkStart w:id="34" w:name="X8af1e08a2407d2993341a69cde83323dd2724bb"/>
    <w:p>
      <w:pPr>
        <w:pStyle w:val="Heading2"/>
      </w:pPr>
      <w:r>
        <w:t xml:space="preserve">3. Practical and doctrinal challenges in reconciling Islamic and South African divorce law</w:t>
      </w:r>
    </w:p>
    <w:p>
      <w:pPr>
        <w:pStyle w:val="FirstParagraph"/>
      </w:pPr>
      <w:r>
        <w:t xml:space="preserve">The principal challenge is that two legal frameworks operate at the same time. Islamic law recognises several forms of marital dissolution, including</w:t>
      </w:r>
      <w:r>
        <w:t xml:space="preserve"> </w:t>
      </w:r>
      <w:r>
        <w:rPr>
          <w:iCs/>
          <w:i/>
        </w:rPr>
        <w:t xml:space="preserve">talaq</w:t>
      </w:r>
      <w:r>
        <w:t xml:space="preserve">,</w:t>
      </w:r>
      <w:r>
        <w:t xml:space="preserve"> </w:t>
      </w:r>
      <w:r>
        <w:rPr>
          <w:iCs/>
          <w:i/>
        </w:rPr>
        <w:t xml:space="preserve">khulʿ</w:t>
      </w:r>
      <w:r>
        <w:t xml:space="preserve"> </w:t>
      </w:r>
      <w:r>
        <w:t xml:space="preserve">and</w:t>
      </w:r>
      <w:r>
        <w:t xml:space="preserve"> </w:t>
      </w:r>
      <w:r>
        <w:rPr>
          <w:iCs/>
          <w:i/>
        </w:rPr>
        <w:t xml:space="preserve">faskh</w:t>
      </w:r>
      <w:r>
        <w:t xml:space="preserve">, whereas South African law regulates civil divorce through legislation and judicial procedure. Osman-Hyder’s analysis shows that the historical absence of formal regulation created uncertainty and could expose Muslim spouses to abuse and inadequate protection.^25</w:t>
      </w:r>
    </w:p>
    <w:p>
      <w:pPr>
        <w:pStyle w:val="BodyText"/>
      </w:pPr>
      <w:r>
        <w:rPr>
          <w:bCs/>
          <w:b/>
        </w:rPr>
        <w:t xml:space="preserve">Academic commentary.</w:t>
      </w:r>
      <w:r>
        <w:t xml:space="preserve"> </w:t>
      </w:r>
      <w:r>
        <w:t xml:space="preserve">Heaton’s collection places the dissolution of religious marriages within the wider development of South African divorce law, and Moosa and Rautenbach, who wrote the chapter on Muslim and Hindu marriages, discuss the constitutional and statutory movement towards recognition and the difficulties of integrating religious dissolution into the civil framework (Heaton (ed) Part 3 [pinpoint to be added]).^26 Amien highlights the tension between legal recognition, religious autonomy and the protection of Muslim women’s rights, and argues that the task is to identify which consequences belong in the religious sphere and which must be regulated by civil law.^27 The difficulty is therefore not that Islamic law or South African law must</w:t>
      </w:r>
      <w:r>
        <w:t xml:space="preserve"> </w:t>
      </w:r>
      <w:r>
        <w:t xml:space="preserve">“</w:t>
      </w:r>
      <w:r>
        <w:t xml:space="preserve">win</w:t>
      </w:r>
      <w:r>
        <w:t xml:space="preserve">”</w:t>
      </w:r>
      <w:r>
        <w:t xml:space="preserve">, but how the two are to be coordinated.</w:t>
      </w:r>
    </w:p>
    <w:p>
      <w:pPr>
        <w:pStyle w:val="BodyText"/>
      </w:pPr>
      <w:r>
        <w:rPr>
          <w:bCs/>
          <w:b/>
        </w:rPr>
        <w:t xml:space="preserve">Gender asymmetry.</w:t>
      </w:r>
      <w:r>
        <w:t xml:space="preserve"> </w:t>
      </w:r>
      <w:r>
        <w:t xml:space="preserve">If the husband can terminate the religious marriage unilaterally while the wife must seek</w:t>
      </w:r>
      <w:r>
        <w:t xml:space="preserve"> </w:t>
      </w:r>
      <w:r>
        <w:rPr>
          <w:iCs/>
          <w:i/>
        </w:rPr>
        <w:t xml:space="preserve">khulʿ</w:t>
      </w:r>
      <w:r>
        <w:t xml:space="preserve"> </w:t>
      </w:r>
      <w:r>
        <w:t xml:space="preserve">(often involving return of the</w:t>
      </w:r>
      <w:r>
        <w:t xml:space="preserve"> </w:t>
      </w:r>
      <w:r>
        <w:rPr>
          <w:iCs/>
          <w:i/>
        </w:rPr>
        <w:t xml:space="preserve">mahr</w:t>
      </w:r>
      <w:r>
        <w:t xml:space="preserve">) or</w:t>
      </w:r>
      <w:r>
        <w:t xml:space="preserve"> </w:t>
      </w:r>
      <w:r>
        <w:rPr>
          <w:iCs/>
          <w:i/>
        </w:rPr>
        <w:t xml:space="preserve">faskh</w:t>
      </w:r>
      <w:r>
        <w:t xml:space="preserve"> </w:t>
      </w:r>
      <w:r>
        <w:t xml:space="preserve">from a religious body, treating the</w:t>
      </w:r>
      <w:r>
        <w:t xml:space="preserve"> </w:t>
      </w:r>
      <w:r>
        <w:rPr>
          <w:iCs/>
          <w:i/>
        </w:rPr>
        <w:t xml:space="preserve">talaq</w:t>
      </w:r>
      <w:r>
        <w:t xml:space="preserve"> </w:t>
      </w:r>
      <w:r>
        <w:t xml:space="preserve">as automatically ending all civil consequences would entrench unequal protection. Equality requires that both spouses have meaningful access to remedies.</w:t>
      </w:r>
    </w:p>
    <w:p>
      <w:pPr>
        <w:pStyle w:val="BodyText"/>
      </w:pPr>
      <w:r>
        <w:rPr>
          <w:bCs/>
          <w:b/>
        </w:rPr>
        <w:t xml:space="preserve">Dual or</w:t>
      </w:r>
      <w:r>
        <w:rPr>
          <w:bCs/>
          <w:b/>
        </w:rPr>
        <w:t xml:space="preserve"> </w:t>
      </w:r>
      <w:r>
        <w:rPr>
          <w:bCs/>
          <w:b/>
        </w:rPr>
        <w:t xml:space="preserve">“</w:t>
      </w:r>
      <w:r>
        <w:rPr>
          <w:bCs/>
          <w:b/>
        </w:rPr>
        <w:t xml:space="preserve">limping</w:t>
      </w:r>
      <w:r>
        <w:rPr>
          <w:bCs/>
          <w:b/>
        </w:rPr>
        <w:t xml:space="preserve">”</w:t>
      </w:r>
      <w:r>
        <w:rPr>
          <w:bCs/>
          <w:b/>
        </w:rPr>
        <w:t xml:space="preserve"> </w:t>
      </w:r>
      <w:r>
        <w:rPr>
          <w:bCs/>
          <w:b/>
        </w:rPr>
        <w:t xml:space="preserve">status.</w:t>
      </w:r>
      <w:r>
        <w:t xml:space="preserve"> </w:t>
      </w:r>
      <w:r>
        <w:t xml:space="preserve">A spouse may be divorced in one sphere and still married in the other. Amina’s position is an example: Farouk regards the marriage as ended, while in civil law it subsists. The risks include the husband remarrying religiously while the first marriage subsists, and the wife being unable to remarry within her community if he withholds cooperation.</w:t>
      </w:r>
    </w:p>
    <w:p>
      <w:pPr>
        <w:pStyle w:val="BodyText"/>
      </w:pPr>
      <w:r>
        <w:rPr>
          <w:bCs/>
          <w:b/>
        </w:rPr>
        <w:t xml:space="preserve">Property.</w:t>
      </w:r>
      <w:r>
        <w:t xml:space="preserve"> </w:t>
      </w:r>
      <w:r>
        <w:t xml:space="preserve">Section 7(3A) provides that, when granting a decree of divorce in respect of a Muslim marriage, the court may, on application and in the absence of an agreement on the division of assets, order that assets or part of the assets of one party be transferred to the other.^28 Section 7(4) requires the court to be satisfied that the order is equitable and just, including by considering direct or indirect contributions to the maintenance or increase of the other party’s estate.^29 These protections would be undermined if a unilateral</w:t>
      </w:r>
      <w:r>
        <w:t xml:space="preserve"> </w:t>
      </w:r>
      <w:r>
        <w:rPr>
          <w:iCs/>
          <w:i/>
        </w:rPr>
        <w:t xml:space="preserve">talaq</w:t>
      </w:r>
      <w:r>
        <w:t xml:space="preserve"> </w:t>
      </w:r>
      <w:r>
        <w:t xml:space="preserve">automatically terminated every civil consequence before a court could consider the financial consequences. Section 7(5) permits the court to consider a contract between the parties where the husband is a spouse in more than one Muslim marriage, which shows Parliament accommodating Islamic family structures while keeping judicial oversight.^30 Heaton’s treatment of the patrimonial consequences of divorce also notes the debate about the constitutionality of the court’s redistribution power under s 7(3) as it applies to civil marriages (Heaton (ed) Chapter 4 [pinpoint to be added]).</w:t>
      </w:r>
    </w:p>
    <w:p>
      <w:pPr>
        <w:pStyle w:val="BodyText"/>
      </w:pPr>
      <w:r>
        <w:rPr>
          <w:bCs/>
          <w:b/>
        </w:rPr>
        <w:t xml:space="preserve">Religious barriers.</w:t>
      </w:r>
      <w:r>
        <w:t xml:space="preserve"> </w:t>
      </w:r>
      <w:r>
        <w:t xml:space="preserve">Section 5A of the Divorce Act is a bridge between religious and civil divorce. It permits a court to refuse a decree where the spouses will not be free to remarry according to their religion unless a religious barrier is removed.^31 It shows that Parliament already expects civil and religious divorce to interact, and it can be used so that Farouk does not obtain a civil decree while leaving Amina in a religious limbo. The legislation therefore does not require the court to ignore Islamic law. It requires the court to manage the interaction.</w:t>
      </w:r>
    </w:p>
    <w:p>
      <w:pPr>
        <w:pStyle w:val="BodyText"/>
      </w:pPr>
      <w:r>
        <w:rPr>
          <w:bCs/>
          <w:b/>
        </w:rPr>
        <w:t xml:space="preserve">Forfeiture and children.</w:t>
      </w:r>
      <w:r>
        <w:t xml:space="preserve"> </w:t>
      </w:r>
      <w:r>
        <w:t xml:space="preserve">Section 9(1) of the Divorce Act was amended so that its forfeiture mechanism applies to Muslim marriages, and section 6 was extended to children of Muslim marriages. Both presuppose a judicial determination.</w:t>
      </w:r>
    </w:p>
    <w:p>
      <w:pPr>
        <w:pStyle w:val="BodyText"/>
      </w:pPr>
      <w:r>
        <w:rPr>
          <w:bCs/>
          <w:b/>
        </w:rPr>
        <w:t xml:space="preserve">Evidence and proof.</w:t>
      </w:r>
      <w:r>
        <w:t xml:space="preserve"> </w:t>
      </w:r>
      <w:r>
        <w:t xml:space="preserve">Questions arise as to how the existence of a marriage and of a</w:t>
      </w:r>
      <w:r>
        <w:t xml:space="preserve"> </w:t>
      </w:r>
      <w:r>
        <w:rPr>
          <w:iCs/>
          <w:i/>
        </w:rPr>
        <w:t xml:space="preserve">talaq</w:t>
      </w:r>
      <w:r>
        <w:t xml:space="preserve"> </w:t>
      </w:r>
      <w:r>
        <w:t xml:space="preserve">are proved, and which school’s rules govern. These are additional reasons for the court to confine itself to civil effect and not to adjudicate religious validity.</w:t>
      </w:r>
    </w:p>
    <w:bookmarkEnd w:id="34"/>
    <w:bookmarkStart w:id="35" w:name="X2c78ccdf42f68fc5ff09330797eb15297bf239b"/>
    <w:p>
      <w:pPr>
        <w:pStyle w:val="Heading2"/>
      </w:pPr>
      <w:r>
        <w:t xml:space="preserve">4. Counterarguments and the proper interpretation</w:t>
      </w:r>
    </w:p>
    <w:p>
      <w:pPr>
        <w:pStyle w:val="FirstParagraph"/>
      </w:pPr>
      <w:r>
        <w:t xml:space="preserve">Farouk’s strongest argument is that the Amendment Act does not expressly abolish</w:t>
      </w:r>
      <w:r>
        <w:t xml:space="preserve"> </w:t>
      </w:r>
      <w:r>
        <w:rPr>
          <w:iCs/>
          <w:i/>
        </w:rPr>
        <w:t xml:space="preserve">talaq</w:t>
      </w:r>
      <w:r>
        <w:t xml:space="preserve">, that section 15 protects religious freedom, and that the Act itself refers to marriages that may have been terminated according to Islamic tenets. It could be said that Parliament intended to recognise the religious termination while merely adding civil remedies. This argument should not be dismissed. Mujuzi contends that the Act is silent on whether it removes the husband’s right to terminate by</w:t>
      </w:r>
      <w:r>
        <w:t xml:space="preserve"> </w:t>
      </w:r>
      <w:r>
        <w:rPr>
          <w:iCs/>
          <w:i/>
        </w:rPr>
        <w:t xml:space="preserve">talaq</w:t>
      </w:r>
      <w:r>
        <w:t xml:space="preserve">, and that reading it as doing so could itself raise equality and religious-freedom concerns.^32 That prevents an over-broad reading of section 3.</w:t>
      </w:r>
    </w:p>
    <w:p>
      <w:pPr>
        <w:pStyle w:val="BodyText"/>
      </w:pPr>
      <w:r>
        <w:t xml:space="preserve">Nevertheless, the argument should not lead to the conclusion that a</w:t>
      </w:r>
      <w:r>
        <w:t xml:space="preserve"> </w:t>
      </w:r>
      <w:r>
        <w:rPr>
          <w:iCs/>
          <w:i/>
        </w:rPr>
        <w:t xml:space="preserve">talaq</w:t>
      </w:r>
      <w:r>
        <w:t xml:space="preserve"> </w:t>
      </w:r>
      <w:r>
        <w:t xml:space="preserve">automatically deprives Amina of her rights under civil law. There are five reasons.</w:t>
      </w:r>
    </w:p>
    <w:p>
      <w:pPr>
        <w:numPr>
          <w:ilvl w:val="0"/>
          <w:numId w:val="1001"/>
        </w:numPr>
        <w:pStyle w:val="Compact"/>
      </w:pPr>
      <w:r>
        <w:t xml:space="preserve">Section 3 provides that a marriage,</w:t>
      </w:r>
      <w:r>
        <w:t xml:space="preserve"> </w:t>
      </w:r>
      <w:r>
        <w:t xml:space="preserve">“</w:t>
      </w:r>
      <w:r>
        <w:t xml:space="preserve">including a Muslim marriage</w:t>
      </w:r>
      <w:r>
        <w:t xml:space="preserve">”</w:t>
      </w:r>
      <w:r>
        <w:t xml:space="preserve">, may be dissolved by a court by decree of divorce.^33</w:t>
      </w:r>
    </w:p>
    <w:p>
      <w:pPr>
        <w:numPr>
          <w:ilvl w:val="0"/>
          <w:numId w:val="1001"/>
        </w:numPr>
        <w:pStyle w:val="Compact"/>
      </w:pPr>
      <w:r>
        <w:t xml:space="preserve">Section 6(b) extends the Act to Muslim marriages that subsisted on 15 December 2014, which includes the 2012 marriage, and the marriage subsists in civil law until a decree.</w:t>
      </w:r>
    </w:p>
    <w:p>
      <w:pPr>
        <w:numPr>
          <w:ilvl w:val="0"/>
          <w:numId w:val="1001"/>
        </w:numPr>
        <w:pStyle w:val="Compact"/>
      </w:pPr>
      <w:r>
        <w:t xml:space="preserve">The Act contains extensive judicial protections concerning children, property and forfeiture. A reading that let one spouse avoid them simply by pronouncing</w:t>
      </w:r>
      <w:r>
        <w:t xml:space="preserve"> </w:t>
      </w:r>
      <w:r>
        <w:rPr>
          <w:iCs/>
          <w:i/>
        </w:rPr>
        <w:t xml:space="preserve">talaq</w:t>
      </w:r>
      <w:r>
        <w:t xml:space="preserve"> </w:t>
      </w:r>
      <w:r>
        <w:t xml:space="preserve">would frustrate the remedial purpose of the legislation.</w:t>
      </w:r>
    </w:p>
    <w:p>
      <w:pPr>
        <w:numPr>
          <w:ilvl w:val="0"/>
          <w:numId w:val="1001"/>
        </w:numPr>
        <w:pStyle w:val="Compact"/>
      </w:pPr>
      <w:r>
        <w:rPr>
          <w:iCs/>
          <w:i/>
        </w:rPr>
        <w:t xml:space="preserve">E.S v H.Z.A</w:t>
      </w:r>
      <w:r>
        <w:t xml:space="preserve"> </w:t>
      </w:r>
      <w:r>
        <w:t xml:space="preserve">is post-amendment authority that a prior</w:t>
      </w:r>
      <w:r>
        <w:t xml:space="preserve"> </w:t>
      </w:r>
      <w:r>
        <w:rPr>
          <w:iCs/>
          <w:i/>
        </w:rPr>
        <w:t xml:space="preserve">talaq</w:t>
      </w:r>
      <w:r>
        <w:t xml:space="preserve"> </w:t>
      </w:r>
      <w:r>
        <w:t xml:space="preserve">does not prevent a Muslim spouse from invoking civil divorce proceedings and Rule 43.^34</w:t>
      </w:r>
    </w:p>
    <w:p>
      <w:pPr>
        <w:numPr>
          <w:ilvl w:val="0"/>
          <w:numId w:val="1001"/>
        </w:numPr>
        <w:pStyle w:val="Compact"/>
      </w:pPr>
      <w:r>
        <w:t xml:space="preserve">Section 39(2) requires an interpretation that promotes the spirit, purport and objects of the Bill of Rights, and favours protecting equality and access to justice while accommodating religious practice.</w:t>
      </w:r>
    </w:p>
    <w:p>
      <w:pPr>
        <w:pStyle w:val="FirstParagraph"/>
      </w:pPr>
      <w:r>
        <w:t xml:space="preserve">The strongest interpretation is that</w:t>
      </w:r>
      <w:r>
        <w:t xml:space="preserve"> </w:t>
      </w:r>
      <w:r>
        <w:rPr>
          <w:iCs/>
          <w:i/>
        </w:rPr>
        <w:t xml:space="preserve">talaq</w:t>
      </w:r>
      <w:r>
        <w:t xml:space="preserve"> </w:t>
      </w:r>
      <w:r>
        <w:t xml:space="preserve">may retain its religious significance but does not operate as a bar to civil divorce proceedings or to the statutory protections attached to them.</w:t>
      </w:r>
    </w:p>
    <w:bookmarkEnd w:id="35"/>
    <w:bookmarkStart w:id="36" w:name="practical-remedies-available-to-amina"/>
    <w:p>
      <w:pPr>
        <w:pStyle w:val="Heading2"/>
      </w:pPr>
      <w:r>
        <w:t xml:space="preserve">5. Practical remedies available to Amina</w:t>
      </w:r>
    </w:p>
    <w:p>
      <w:pPr>
        <w:pStyle w:val="FirstParagraph"/>
      </w:pPr>
      <w:r>
        <w:t xml:space="preserve">Amina should not be left without a remedy merely because Farouk pronounced</w:t>
      </w:r>
      <w:r>
        <w:t xml:space="preserve"> </w:t>
      </w:r>
      <w:r>
        <w:rPr>
          <w:iCs/>
          <w:i/>
        </w:rPr>
        <w:t xml:space="preserve">talaq</w:t>
      </w:r>
      <w:r>
        <w:t xml:space="preserve">. The post-2024 framework offers several avenues.</w:t>
      </w:r>
    </w:p>
    <w:p>
      <w:pPr>
        <w:pStyle w:val="BodyText"/>
      </w:pPr>
      <w:r>
        <w:t xml:space="preserve">First, she can institute civil divorce proceedings under the Divorce Act.</w:t>
      </w:r>
      <w:r>
        <w:t xml:space="preserve"> </w:t>
      </w:r>
      <w:r>
        <w:rPr>
          <w:iCs/>
          <w:i/>
        </w:rPr>
        <w:t xml:space="preserve">S.W v A.L</w:t>
      </w:r>
      <w:r>
        <w:t xml:space="preserve"> </w:t>
      </w:r>
      <w:r>
        <w:t xml:space="preserve">illustrates that a</w:t>
      </w:r>
      <w:r>
        <w:t xml:space="preserve"> </w:t>
      </w:r>
      <w:r>
        <w:rPr>
          <w:iCs/>
          <w:i/>
        </w:rPr>
        <w:t xml:space="preserve">talaq</w:t>
      </w:r>
      <w:r>
        <w:t xml:space="preserve"> </w:t>
      </w:r>
      <w:r>
        <w:t xml:space="preserve">does not render divorce proceedings or Rule 43 relief moot where civil proceedings have been properly instituted.^35 Instituting proceedings also removes any argument based on the wording of section 6(a).</w:t>
      </w:r>
    </w:p>
    <w:p>
      <w:pPr>
        <w:pStyle w:val="BodyText"/>
      </w:pPr>
      <w:r>
        <w:t xml:space="preserve">Second, she can seek Rule 43 interim relief, including interim maintenance and a contribution towards costs. The importance of this protection was recognised in</w:t>
      </w:r>
      <w:r>
        <w:t xml:space="preserve"> </w:t>
      </w:r>
      <w:r>
        <w:rPr>
          <w:iCs/>
          <w:i/>
        </w:rPr>
        <w:t xml:space="preserve">H.A v N.A</w:t>
      </w:r>
      <w:r>
        <w:t xml:space="preserve"> </w:t>
      </w:r>
      <w:r>
        <w:t xml:space="preserve">and confirmed more decisively in</w:t>
      </w:r>
      <w:r>
        <w:t xml:space="preserve"> </w:t>
      </w:r>
      <w:r>
        <w:rPr>
          <w:iCs/>
          <w:i/>
        </w:rPr>
        <w:t xml:space="preserve">E.S v H.Z.A</w:t>
      </w:r>
      <w:r>
        <w:t xml:space="preserve">.^36</w:t>
      </w:r>
    </w:p>
    <w:p>
      <w:pPr>
        <w:pStyle w:val="BodyText"/>
      </w:pPr>
      <w:r>
        <w:t xml:space="preserve">Third, her continued occupation of the matrimonial home cannot be terminated by self-help. Section 26(3) of the Constitution provides that no one may be evicted from their home without a court order made after considering all relevant circumstances.^37 This is relevant because Amina continued to live in the home after the</w:t>
      </w:r>
      <w:r>
        <w:t xml:space="preserve"> </w:t>
      </w:r>
      <w:r>
        <w:rPr>
          <w:iCs/>
          <w:i/>
        </w:rPr>
        <w:t xml:space="preserve">talaq</w:t>
      </w:r>
      <w:r>
        <w:t xml:space="preserve">. Sonnekus’s chapter on the personal consequences of divorce in Heaton (ed) shows that claims to continued occupation of the matrimonial home are matters for the court to regulate on divorce [pinpoint to be added].</w:t>
      </w:r>
    </w:p>
    <w:p>
      <w:pPr>
        <w:pStyle w:val="BodyText"/>
      </w:pPr>
      <w:r>
        <w:t xml:space="preserve">Fourth, she can claim maintenance under section 7(2) and, where the requirements are met, redistribution under sections 7(3A) and 7(4), with the court considering direct and indirect contributions and the circumstances of the parties.^38</w:t>
      </w:r>
    </w:p>
    <w:p>
      <w:pPr>
        <w:pStyle w:val="BodyText"/>
      </w:pPr>
      <w:r>
        <w:t xml:space="preserve">The practical consequence is that Farouk cannot pronounce</w:t>
      </w:r>
      <w:r>
        <w:t xml:space="preserve"> </w:t>
      </w:r>
      <w:r>
        <w:rPr>
          <w:iCs/>
          <w:i/>
        </w:rPr>
        <w:t xml:space="preserve">talaq</w:t>
      </w:r>
      <w:r>
        <w:t xml:space="preserve"> </w:t>
      </w:r>
      <w:r>
        <w:t xml:space="preserve">and thereby place Amina outside the protection of the South African courts.</w:t>
      </w:r>
    </w:p>
    <w:bookmarkEnd w:id="36"/>
    <w:bookmarkStart w:id="37" w:name="Xa79f2d21c014e24f895749ad6637fcaed67eec8"/>
    <w:p>
      <w:pPr>
        <w:pStyle w:val="Heading2"/>
      </w:pPr>
      <w:r>
        <w:t xml:space="preserve">6. Reasoned conclusion on legal certainty and constitutional values</w:t>
      </w:r>
    </w:p>
    <w:p>
      <w:pPr>
        <w:pStyle w:val="FirstParagraph"/>
      </w:pPr>
      <w:r>
        <w:t xml:space="preserve">The court should adopt an interpretation that distinguishes between religious dissolution and civil-law dissolution.</w:t>
      </w:r>
    </w:p>
    <w:p>
      <w:pPr>
        <w:pStyle w:val="BodyText"/>
      </w:pPr>
      <w:r>
        <w:t xml:space="preserve">The 2024 amendments changed the legal position by expressly bringing Muslim marriages within the Divorce Act. Section 3 provides for dissolution of a Muslim marriage by court decree. Section 6 extends the legislation to existing Muslim marriages, including those that subsisted on 15 December 2014. Sections 6, 7 and 9 of the Divorce Act, as amended, give substantive protection in respect of children, property and the patrimonial consequences of divorce. At the same time, Parliament did not expressly declare</w:t>
      </w:r>
      <w:r>
        <w:t xml:space="preserve"> </w:t>
      </w:r>
      <w:r>
        <w:rPr>
          <w:iCs/>
          <w:i/>
        </w:rPr>
        <w:t xml:space="preserve">talaq</w:t>
      </w:r>
      <w:r>
        <w:t xml:space="preserve"> </w:t>
      </w:r>
      <w:r>
        <w:t xml:space="preserve">religiously invalid, and</w:t>
      </w:r>
      <w:r>
        <w:t xml:space="preserve"> </w:t>
      </w:r>
      <w:r>
        <w:rPr>
          <w:iCs/>
          <w:i/>
        </w:rPr>
        <w:t xml:space="preserve">H.A v N.A</w:t>
      </w:r>
      <w:r>
        <w:t xml:space="preserve"> </w:t>
      </w:r>
      <w:r>
        <w:t xml:space="preserve">and Mujuzi’s analysis show that the relationship between</w:t>
      </w:r>
      <w:r>
        <w:t xml:space="preserve"> </w:t>
      </w:r>
      <w:r>
        <w:rPr>
          <w:iCs/>
          <w:i/>
        </w:rPr>
        <w:t xml:space="preserve">talaq</w:t>
      </w:r>
      <w:r>
        <w:t xml:space="preserve"> </w:t>
      </w:r>
      <w:r>
        <w:t xml:space="preserve">and civil divorce is not free from ambiguity.</w:t>
      </w:r>
    </w:p>
    <w:p>
      <w:pPr>
        <w:pStyle w:val="BodyText"/>
      </w:pPr>
      <w:r>
        <w:t xml:space="preserve">The appropriate judicial response is neither to ignore</w:t>
      </w:r>
      <w:r>
        <w:t xml:space="preserve"> </w:t>
      </w:r>
      <w:r>
        <w:rPr>
          <w:iCs/>
          <w:i/>
        </w:rPr>
        <w:t xml:space="preserve">talaq</w:t>
      </w:r>
      <w:r>
        <w:t xml:space="preserve"> </w:t>
      </w:r>
      <w:r>
        <w:t xml:space="preserve">nor to allow it to defeat the Divorce Act. The court should recognise that</w:t>
      </w:r>
      <w:r>
        <w:t xml:space="preserve"> </w:t>
      </w:r>
      <w:r>
        <w:rPr>
          <w:iCs/>
          <w:i/>
        </w:rPr>
        <w:t xml:space="preserve">talaq</w:t>
      </w:r>
      <w:r>
        <w:t xml:space="preserve"> </w:t>
      </w:r>
      <w:r>
        <w:t xml:space="preserve">may have consequences under Islamic law but hold that those consequences do not remove the jurisdiction of the South African courts or prevent a Muslim spouse from invoking the statutory regime, and it should make orders accordingly (refusing the broad declarator, and leaving the parties to the divorce process with interim protection for Amina).</w:t>
      </w:r>
    </w:p>
    <w:p>
      <w:pPr>
        <w:pStyle w:val="BodyText"/>
      </w:pPr>
      <w:r>
        <w:t xml:space="preserve">This approach best advances legal certainty, because the civil status of the spouses changes by one public and provable act, a decree, on which insurers, pension funds, the Master and others can rely. It complies with section 39(2) because it protects equality, dignity and access to courts, and it accommodates freedom of religion by leaving questions of religious validity to the religious community and by using section 5A to align the two spheres.</w:t>
      </w:r>
    </w:p>
    <w:bookmarkEnd w:id="37"/>
    <w:bookmarkStart w:id="38" w:name="conclusion"/>
    <w:p>
      <w:pPr>
        <w:pStyle w:val="Heading2"/>
      </w:pPr>
      <w:r>
        <w:t xml:space="preserve">Conclusion</w:t>
      </w:r>
    </w:p>
    <w:p>
      <w:pPr>
        <w:pStyle w:val="FirstParagraph"/>
      </w:pPr>
      <w:r>
        <w:t xml:space="preserve">Amina and Farouk’s marriage is a Muslim marriage within the meaning of the amended Divorce Act. It was concluded in 2012 and falls within the category of Muslim marriages that subsisted on 15 December 2014. Farouk’s</w:t>
      </w:r>
      <w:r>
        <w:t xml:space="preserve"> </w:t>
      </w:r>
      <w:r>
        <w:rPr>
          <w:iCs/>
          <w:i/>
        </w:rPr>
        <w:t xml:space="preserve">talaq</w:t>
      </w:r>
      <w:r>
        <w:t xml:space="preserve"> </w:t>
      </w:r>
      <w:r>
        <w:t xml:space="preserve">occurred after the Amendment Act commenced.</w:t>
      </w:r>
    </w:p>
    <w:p>
      <w:pPr>
        <w:pStyle w:val="BodyText"/>
      </w:pPr>
      <w:r>
        <w:t xml:space="preserve">The better view is that the</w:t>
      </w:r>
      <w:r>
        <w:t xml:space="preserve"> </w:t>
      </w:r>
      <w:r>
        <w:rPr>
          <w:iCs/>
          <w:i/>
        </w:rPr>
        <w:t xml:space="preserve">talaq</w:t>
      </w:r>
      <w:r>
        <w:t xml:space="preserve"> </w:t>
      </w:r>
      <w:r>
        <w:t xml:space="preserve">does not prevent Amina from approaching a South African court for a civil divorce or from claiming the protections of the Divorce Act, and that for civil purposes the marriage subsists until a decree is granted. Although the Act does not expressly abolish</w:t>
      </w:r>
      <w:r>
        <w:t xml:space="preserve"> </w:t>
      </w:r>
      <w:r>
        <w:rPr>
          <w:iCs/>
          <w:i/>
        </w:rPr>
        <w:t xml:space="preserve">talaq</w:t>
      </w:r>
      <w:r>
        <w:t xml:space="preserve"> </w:t>
      </w:r>
      <w:r>
        <w:t xml:space="preserve">as a matter of Islamic law, a religious termination should not be treated as extinguishing a spouse’s civil rights without judicial determination.</w:t>
      </w:r>
    </w:p>
    <w:p>
      <w:pPr>
        <w:pStyle w:val="BodyText"/>
      </w:pPr>
      <w:r>
        <w:t xml:space="preserve">The uncertainty identified in</w:t>
      </w:r>
      <w:r>
        <w:t xml:space="preserve"> </w:t>
      </w:r>
      <w:r>
        <w:rPr>
          <w:iCs/>
          <w:i/>
        </w:rPr>
        <w:t xml:space="preserve">H.A v N.A</w:t>
      </w:r>
      <w:r>
        <w:t xml:space="preserve"> </w:t>
      </w:r>
      <w:r>
        <w:t xml:space="preserve">should be resolved in light of the later decision in</w:t>
      </w:r>
      <w:r>
        <w:t xml:space="preserve"> </w:t>
      </w:r>
      <w:r>
        <w:rPr>
          <w:iCs/>
          <w:i/>
        </w:rPr>
        <w:t xml:space="preserve">E.S v H.Z.A</w:t>
      </w:r>
      <w:r>
        <w:t xml:space="preserve">, the remedial purpose of the Amendment Act and the constitutional duty to protect equality and access to justice.</w:t>
      </w:r>
      <w:r>
        <w:t xml:space="preserve"> </w:t>
      </w:r>
      <w:r>
        <w:rPr>
          <w:iCs/>
          <w:i/>
        </w:rPr>
        <w:t xml:space="preserve">S.W v A.L</w:t>
      </w:r>
      <w:r>
        <w:t xml:space="preserve"> </w:t>
      </w:r>
      <w:r>
        <w:t xml:space="preserve">further shows that a</w:t>
      </w:r>
      <w:r>
        <w:t xml:space="preserve"> </w:t>
      </w:r>
      <w:r>
        <w:rPr>
          <w:iCs/>
          <w:i/>
        </w:rPr>
        <w:t xml:space="preserve">talaq</w:t>
      </w:r>
      <w:r>
        <w:t xml:space="preserve"> </w:t>
      </w:r>
      <w:r>
        <w:t xml:space="preserve">does not necessarily render civil proceedings or Rule 43 relief moot. Farouk’s application for a declaration that the</w:t>
      </w:r>
      <w:r>
        <w:t xml:space="preserve"> </w:t>
      </w:r>
      <w:r>
        <w:rPr>
          <w:iCs/>
          <w:i/>
        </w:rPr>
        <w:t xml:space="preserve">talaq</w:t>
      </w:r>
      <w:r>
        <w:t xml:space="preserve"> </w:t>
      </w:r>
      <w:r>
        <w:t xml:space="preserve">alone conclusively dissolved the marriage for all purposes should therefore be refused. Amina should remain entitled to pursue divorce proceedings, interim relief and appropriate financial remedies under the Divorce Act, and the court should distinguish between the religious validity of</w:t>
      </w:r>
      <w:r>
        <w:t xml:space="preserve"> </w:t>
      </w:r>
      <w:r>
        <w:rPr>
          <w:iCs/>
          <w:i/>
        </w:rPr>
        <w:t xml:space="preserve">talaq</w:t>
      </w:r>
      <w:r>
        <w:t xml:space="preserve"> </w:t>
      </w:r>
      <w:r>
        <w:t xml:space="preserve">and its civil-law consequences.</w:t>
      </w:r>
    </w:p>
    <w:p>
      <w:pPr>
        <w:pStyle w:val="BodyText"/>
      </w:pPr>
      <w:r>
        <w:t xml:space="preserve">Such an approach reconciles Islamic principles with South African constitutional law without needlessly setting them in opposition. It respects freedom of religion while ensuring that equality, dignity, access to courts and legal certainty are not sacrificed.</w:t>
      </w:r>
    </w:p>
    <w:p>
      <w:r>
        <w:pict>
          <v:rect style="width:0;height:1.5pt" o:hralign="center" o:hrstd="t" o:hr="t"/>
        </w:pict>
      </w:r>
    </w:p>
    <w:bookmarkEnd w:id="38"/>
    <w:bookmarkStart w:id="39" w:name="footnotes"/>
    <w:p>
      <w:pPr>
        <w:pStyle w:val="Heading2"/>
      </w:pPr>
      <w:r>
        <w:t xml:space="preserve">Footnotes</w:t>
      </w:r>
    </w:p>
    <w:p>
      <w:pPr>
        <w:numPr>
          <w:ilvl w:val="0"/>
          <w:numId w:val="1002"/>
        </w:numPr>
        <w:pStyle w:val="Compact"/>
      </w:pPr>
      <w:r>
        <w:t xml:space="preserve">M Osman-Hyder</w:t>
      </w:r>
      <w:r>
        <w:t xml:space="preserve"> </w:t>
      </w:r>
      <w:r>
        <w:t xml:space="preserve">“</w:t>
      </w:r>
      <w:r>
        <w:t xml:space="preserve">Termination of Muslim marriages in the South African Legal Context: Understanding the Challenges</w:t>
      </w:r>
      <w:r>
        <w:t xml:space="preserve">”</w:t>
      </w:r>
      <w:r>
        <w:t xml:space="preserve"> </w:t>
      </w:r>
      <w:r>
        <w:t xml:space="preserve">(2022) 33(2)</w:t>
      </w:r>
      <w:r>
        <w:t xml:space="preserve"> </w:t>
      </w:r>
      <w:r>
        <w:rPr>
          <w:iCs/>
          <w:i/>
        </w:rPr>
        <w:t xml:space="preserve">Stellenbosch Law Review</w:t>
      </w:r>
      <w:r>
        <w:t xml:space="preserve"> </w:t>
      </w:r>
      <w:r>
        <w:t xml:space="preserve">251–269.</w:t>
      </w:r>
    </w:p>
    <w:p>
      <w:pPr>
        <w:numPr>
          <w:ilvl w:val="0"/>
          <w:numId w:val="1002"/>
        </w:numPr>
        <w:pStyle w:val="Compact"/>
      </w:pPr>
      <w:r>
        <w:rPr>
          <w:iCs/>
          <w:i/>
        </w:rPr>
        <w:t xml:space="preserve">Women’s Legal Centre Trust v President of the Republic of South Africa and Others</w:t>
      </w:r>
      <w:r>
        <w:t xml:space="preserve"> </w:t>
      </w:r>
      <w:r>
        <w:t xml:space="preserve">[2022] ZACC 23; 2022 (5) SA 323 (CC); 2023 (1) BCLR 80 (CC).</w:t>
      </w:r>
    </w:p>
    <w:p>
      <w:pPr>
        <w:numPr>
          <w:ilvl w:val="0"/>
          <w:numId w:val="1002"/>
        </w:numPr>
        <w:pStyle w:val="Compact"/>
      </w:pPr>
      <w:r>
        <w:t xml:space="preserve">Divorce Amendment Act 1 of 2024; Government Gazette 50651 of 14 May 2024.</w:t>
      </w:r>
    </w:p>
    <w:p>
      <w:pPr>
        <w:numPr>
          <w:ilvl w:val="0"/>
          <w:numId w:val="1002"/>
        </w:numPr>
        <w:pStyle w:val="Compact"/>
      </w:pPr>
      <w:r>
        <w:t xml:space="preserve">Divorce Amendment Act 1 of 2024 s 6.</w:t>
      </w:r>
    </w:p>
    <w:p>
      <w:pPr>
        <w:numPr>
          <w:ilvl w:val="0"/>
          <w:numId w:val="1002"/>
        </w:numPr>
        <w:pStyle w:val="Compact"/>
      </w:pPr>
      <w:r>
        <w:rPr>
          <w:iCs/>
          <w:i/>
        </w:rPr>
        <w:t xml:space="preserve">Ryland v Edros</w:t>
      </w:r>
      <w:r>
        <w:t xml:space="preserve"> </w:t>
      </w:r>
      <w:r>
        <w:t xml:space="preserve">1997 (2) SA 690 (C).</w:t>
      </w:r>
    </w:p>
    <w:p>
      <w:pPr>
        <w:numPr>
          <w:ilvl w:val="0"/>
          <w:numId w:val="1002"/>
        </w:numPr>
        <w:pStyle w:val="Compact"/>
      </w:pPr>
      <w:r>
        <w:rPr>
          <w:iCs/>
          <w:i/>
        </w:rPr>
        <w:t xml:space="preserve">Daniels v Campbell NO and Others</w:t>
      </w:r>
      <w:r>
        <w:t xml:space="preserve"> </w:t>
      </w:r>
      <w:r>
        <w:t xml:space="preserve">[2004] ZACC 14; 2004 (5) SA 331 (CC); 2004 (7) BCLR 735 (CC).</w:t>
      </w:r>
    </w:p>
    <w:p>
      <w:pPr>
        <w:numPr>
          <w:ilvl w:val="0"/>
          <w:numId w:val="1002"/>
        </w:numPr>
        <w:pStyle w:val="Compact"/>
      </w:pPr>
      <w:r>
        <w:rPr>
          <w:iCs/>
          <w:i/>
        </w:rPr>
        <w:t xml:space="preserve">Hassam v Jacobs NO and Others</w:t>
      </w:r>
      <w:r>
        <w:t xml:space="preserve"> </w:t>
      </w:r>
      <w:r>
        <w:t xml:space="preserve">[2009] ZACC 19; 2009 (5) SA 572 (CC); 2009 (11) BCLR 1148 (CC).</w:t>
      </w:r>
    </w:p>
    <w:p>
      <w:pPr>
        <w:numPr>
          <w:ilvl w:val="0"/>
          <w:numId w:val="1002"/>
        </w:numPr>
        <w:pStyle w:val="Compact"/>
      </w:pPr>
      <w:r>
        <w:rPr>
          <w:iCs/>
          <w:i/>
        </w:rPr>
        <w:t xml:space="preserve">Women’s Legal Centre Trust</w:t>
      </w:r>
      <w:r>
        <w:t xml:space="preserve"> </w:t>
      </w:r>
      <w:r>
        <w:t xml:space="preserve">supra n 2.</w:t>
      </w:r>
    </w:p>
    <w:p>
      <w:pPr>
        <w:numPr>
          <w:ilvl w:val="0"/>
          <w:numId w:val="1002"/>
        </w:numPr>
        <w:pStyle w:val="Compact"/>
      </w:pPr>
      <w:r>
        <w:t xml:space="preserve">Divorce Amendment Act 1 of 2024 s 1.</w:t>
      </w:r>
    </w:p>
    <w:p>
      <w:pPr>
        <w:numPr>
          <w:ilvl w:val="0"/>
          <w:numId w:val="1002"/>
        </w:numPr>
        <w:pStyle w:val="Compact"/>
      </w:pPr>
      <w:r>
        <w:t xml:space="preserve">Divorce Amendment Act 1 of 2024 s 2, amending s 3 of the Divorce Act 70 of 1979.</w:t>
      </w:r>
    </w:p>
    <w:p>
      <w:pPr>
        <w:numPr>
          <w:ilvl w:val="0"/>
          <w:numId w:val="1002"/>
        </w:numPr>
        <w:pStyle w:val="Compact"/>
      </w:pPr>
      <w:r>
        <w:t xml:space="preserve">JD Mujuzi</w:t>
      </w:r>
      <w:r>
        <w:t xml:space="preserve"> </w:t>
      </w:r>
      <w:r>
        <w:t xml:space="preserve">“</w:t>
      </w:r>
      <w:r>
        <w:t xml:space="preserve">Dissolving a Muslim marriage in South Africa and the right to freedom from discrimination: The talaaq v. the Divorce Amendment Act (2024)</w:t>
      </w:r>
      <w:r>
        <w:t xml:space="preserve"> </w:t>
      </w:r>
      <w:r>
        <w:t xml:space="preserve">‘</w:t>
      </w:r>
      <w:r>
        <w:t xml:space="preserve">routes</w:t>
      </w:r>
      <w:r>
        <w:t xml:space="preserve">’</w:t>
      </w:r>
      <w:r>
        <w:t xml:space="preserve"> </w:t>
      </w:r>
      <w:r>
        <w:t xml:space="preserve">in the context of</w:t>
      </w:r>
      <w:r>
        <w:t xml:space="preserve"> </w:t>
      </w:r>
      <w:r>
        <w:rPr>
          <w:iCs/>
          <w:i/>
        </w:rPr>
        <w:t xml:space="preserve">H.A v N.A</w:t>
      </w:r>
      <w:r>
        <w:t xml:space="preserve"> </w:t>
      </w:r>
      <w:r>
        <w:t xml:space="preserve">(February 2025)</w:t>
      </w:r>
      <w:r>
        <w:t xml:space="preserve">”</w:t>
      </w:r>
      <w:r>
        <w:t xml:space="preserve"> </w:t>
      </w:r>
      <w:r>
        <w:t xml:space="preserve">(2026) 26(1)</w:t>
      </w:r>
      <w:r>
        <w:t xml:space="preserve"> </w:t>
      </w:r>
      <w:r>
        <w:rPr>
          <w:iCs/>
          <w:i/>
        </w:rPr>
        <w:t xml:space="preserve">International Journal of Discrimination and the Law</w:t>
      </w:r>
      <w:r>
        <w:t xml:space="preserve"> </w:t>
      </w:r>
      <w:r>
        <w:t xml:space="preserve">197–206.</w:t>
      </w:r>
    </w:p>
    <w:p>
      <w:pPr>
        <w:numPr>
          <w:ilvl w:val="0"/>
          <w:numId w:val="1002"/>
        </w:numPr>
        <w:pStyle w:val="Compact"/>
      </w:pPr>
      <w:r>
        <w:t xml:space="preserve">Divorce Amendment Act 1 of 2024 s 6.</w:t>
      </w:r>
    </w:p>
    <w:p>
      <w:pPr>
        <w:numPr>
          <w:ilvl w:val="0"/>
          <w:numId w:val="1002"/>
        </w:numPr>
        <w:pStyle w:val="Compact"/>
      </w:pPr>
      <w:r>
        <w:rPr>
          <w:iCs/>
          <w:i/>
        </w:rPr>
        <w:t xml:space="preserve">H.A v N.A</w:t>
      </w:r>
      <w:r>
        <w:t xml:space="preserve"> </w:t>
      </w:r>
      <w:r>
        <w:t xml:space="preserve">(144907/2024) [2025] ZAGPPHC 121.</w:t>
      </w:r>
    </w:p>
    <w:p>
      <w:pPr>
        <w:numPr>
          <w:ilvl w:val="0"/>
          <w:numId w:val="1002"/>
        </w:numPr>
        <w:pStyle w:val="Compact"/>
      </w:pPr>
      <w:r>
        <w:rPr>
          <w:iCs/>
          <w:i/>
        </w:rPr>
        <w:t xml:space="preserve">H.A v N.A</w:t>
      </w:r>
      <w:r>
        <w:t xml:space="preserve"> </w:t>
      </w:r>
      <w:r>
        <w:t xml:space="preserve">supra n 13.</w:t>
      </w:r>
    </w:p>
    <w:p>
      <w:pPr>
        <w:numPr>
          <w:ilvl w:val="0"/>
          <w:numId w:val="1002"/>
        </w:numPr>
        <w:pStyle w:val="Compact"/>
      </w:pPr>
      <w:r>
        <w:rPr>
          <w:iCs/>
          <w:i/>
        </w:rPr>
        <w:t xml:space="preserve">E.S v H.Z.A</w:t>
      </w:r>
      <w:r>
        <w:t xml:space="preserve"> </w:t>
      </w:r>
      <w:r>
        <w:t xml:space="preserve">(A2023/062743) [2026] ZAGPJHC 262; 2026 (5) SA 140 (GJ).</w:t>
      </w:r>
    </w:p>
    <w:p>
      <w:pPr>
        <w:numPr>
          <w:ilvl w:val="0"/>
          <w:numId w:val="1002"/>
        </w:numPr>
        <w:pStyle w:val="Compact"/>
      </w:pPr>
      <w:r>
        <w:rPr>
          <w:iCs/>
          <w:i/>
        </w:rPr>
        <w:t xml:space="preserve">Harksen v Lane NO and Others</w:t>
      </w:r>
      <w:r>
        <w:t xml:space="preserve"> </w:t>
      </w:r>
      <w:r>
        <w:t xml:space="preserve">[1997] ZACC 12; 1998 (1) SA 300 (CC); 1997 (11) BCLR 1489 (CC).</w:t>
      </w:r>
    </w:p>
    <w:p>
      <w:pPr>
        <w:numPr>
          <w:ilvl w:val="0"/>
          <w:numId w:val="1002"/>
        </w:numPr>
        <w:pStyle w:val="Compact"/>
      </w:pPr>
      <w:r>
        <w:rPr>
          <w:iCs/>
          <w:i/>
        </w:rPr>
        <w:t xml:space="preserve">President of the Republic of South Africa v Hugo</w:t>
      </w:r>
      <w:r>
        <w:t xml:space="preserve"> </w:t>
      </w:r>
      <w:r>
        <w:t xml:space="preserve">[1997] ZACC 4; 1997 (4) SA 1 (CC); 1997 (6) BCLR 708 (CC).</w:t>
      </w:r>
    </w:p>
    <w:p>
      <w:pPr>
        <w:numPr>
          <w:ilvl w:val="0"/>
          <w:numId w:val="1002"/>
        </w:numPr>
        <w:pStyle w:val="Compact"/>
      </w:pPr>
      <w:r>
        <w:rPr>
          <w:iCs/>
          <w:i/>
        </w:rPr>
        <w:t xml:space="preserve">Gumede (born Shange) v President of the Republic of South Africa and Others</w:t>
      </w:r>
      <w:r>
        <w:t xml:space="preserve"> </w:t>
      </w:r>
      <w:r>
        <w:t xml:space="preserve">[2008] ZACC 23; 2009 (3) SA 152 (CC); 2009 (3) BCLR 243 (CC).</w:t>
      </w:r>
    </w:p>
    <w:p>
      <w:pPr>
        <w:numPr>
          <w:ilvl w:val="0"/>
          <w:numId w:val="1002"/>
        </w:numPr>
        <w:pStyle w:val="Compact"/>
      </w:pPr>
      <w:r>
        <w:rPr>
          <w:iCs/>
          <w:i/>
        </w:rPr>
        <w:t xml:space="preserve">Mayelane v Ngwenyama and Another</w:t>
      </w:r>
      <w:r>
        <w:t xml:space="preserve"> </w:t>
      </w:r>
      <w:r>
        <w:t xml:space="preserve">[2013] ZACC 14; 2013 (4) SA 415 (CC); 2013 (8) BCLR 918 (CC).</w:t>
      </w:r>
    </w:p>
    <w:p>
      <w:pPr>
        <w:numPr>
          <w:ilvl w:val="0"/>
          <w:numId w:val="1002"/>
        </w:numPr>
        <w:pStyle w:val="Compact"/>
      </w:pPr>
      <w:r>
        <w:t xml:space="preserve">Mujuzi supra n 11.</w:t>
      </w:r>
    </w:p>
    <w:p>
      <w:pPr>
        <w:numPr>
          <w:ilvl w:val="0"/>
          <w:numId w:val="1002"/>
        </w:numPr>
        <w:pStyle w:val="Compact"/>
      </w:pPr>
      <w:r>
        <w:rPr>
          <w:iCs/>
          <w:i/>
        </w:rPr>
        <w:t xml:space="preserve">Christian Education South Africa v Minister of Education</w:t>
      </w:r>
      <w:r>
        <w:t xml:space="preserve"> </w:t>
      </w:r>
      <w:r>
        <w:t xml:space="preserve">[2000] ZACC 11; 2000 (4) SA 757 (CC); 2000 (10) BCLR 1051 (CC).</w:t>
      </w:r>
    </w:p>
    <w:p>
      <w:pPr>
        <w:numPr>
          <w:ilvl w:val="0"/>
          <w:numId w:val="1002"/>
        </w:numPr>
        <w:pStyle w:val="Compact"/>
      </w:pPr>
      <w:r>
        <w:rPr>
          <w:iCs/>
          <w:i/>
        </w:rPr>
        <w:t xml:space="preserve">E.S v H.Z.A</w:t>
      </w:r>
      <w:r>
        <w:t xml:space="preserve"> </w:t>
      </w:r>
      <w:r>
        <w:t xml:space="preserve">supra n 15.</w:t>
      </w:r>
    </w:p>
    <w:p>
      <w:pPr>
        <w:numPr>
          <w:ilvl w:val="0"/>
          <w:numId w:val="1002"/>
        </w:numPr>
        <w:pStyle w:val="Compact"/>
      </w:pPr>
      <w:r>
        <w:t xml:space="preserve">Divorce Amendment Act 1 of 2024 s 3, amending s 6 of the Divorce Act.</w:t>
      </w:r>
    </w:p>
    <w:p>
      <w:pPr>
        <w:numPr>
          <w:ilvl w:val="0"/>
          <w:numId w:val="1002"/>
        </w:numPr>
        <w:pStyle w:val="Compact"/>
      </w:pPr>
      <w:r>
        <w:t xml:space="preserve">Constitution of the Republic of South Africa, 1996 s 36.</w:t>
      </w:r>
    </w:p>
    <w:p>
      <w:pPr>
        <w:numPr>
          <w:ilvl w:val="0"/>
          <w:numId w:val="1002"/>
        </w:numPr>
        <w:pStyle w:val="Compact"/>
      </w:pPr>
      <w:r>
        <w:t xml:space="preserve">Osman-Hyder supra n 1.</w:t>
      </w:r>
    </w:p>
    <w:p>
      <w:pPr>
        <w:numPr>
          <w:ilvl w:val="0"/>
          <w:numId w:val="1002"/>
        </w:numPr>
        <w:pStyle w:val="Compact"/>
      </w:pPr>
      <w:r>
        <w:t xml:space="preserve">J Heaton (ed)</w:t>
      </w:r>
      <w:r>
        <w:t xml:space="preserve"> </w:t>
      </w:r>
      <w:r>
        <w:rPr>
          <w:iCs/>
          <w:i/>
        </w:rPr>
        <w:t xml:space="preserve">The Law of Divorce and Dissolution of Life Partnerships in South Africa</w:t>
      </w:r>
      <w:r>
        <w:t xml:space="preserve"> </w:t>
      </w:r>
      <w:r>
        <w:t xml:space="preserve">(Juta 2014), Part 3 (N Moosa and C Rautenbach on the dissolution of religious marriages).</w:t>
      </w:r>
    </w:p>
    <w:p>
      <w:pPr>
        <w:numPr>
          <w:ilvl w:val="0"/>
          <w:numId w:val="1002"/>
        </w:numPr>
        <w:pStyle w:val="Compact"/>
      </w:pPr>
      <w:r>
        <w:t xml:space="preserve">W Amien</w:t>
      </w:r>
      <w:r>
        <w:t xml:space="preserve"> </w:t>
      </w:r>
      <w:r>
        <w:t xml:space="preserve">“</w:t>
      </w:r>
      <w:r>
        <w:t xml:space="preserve">Judicial Intervention in Facilitating Legal Recognition (and Regulation) of Muslim Family Law in Muslim-Minority Countries: The Case of South Africa</w:t>
      </w:r>
      <w:r>
        <w:t xml:space="preserve">”</w:t>
      </w:r>
      <w:r>
        <w:t xml:space="preserve"> </w:t>
      </w:r>
      <w:r>
        <w:t xml:space="preserve">(2020) 1(1)</w:t>
      </w:r>
      <w:r>
        <w:t xml:space="preserve"> </w:t>
      </w:r>
      <w:r>
        <w:rPr>
          <w:iCs/>
          <w:i/>
        </w:rPr>
        <w:t xml:space="preserve">Journal of Islamic Law</w:t>
      </w:r>
      <w:r>
        <w:t xml:space="preserve">.</w:t>
      </w:r>
    </w:p>
    <w:p>
      <w:pPr>
        <w:numPr>
          <w:ilvl w:val="0"/>
          <w:numId w:val="1002"/>
        </w:numPr>
        <w:pStyle w:val="Compact"/>
      </w:pPr>
      <w:r>
        <w:t xml:space="preserve">Divorce Act s 7(3A), inserted by Divorce Amendment Act 1 of 2024 s 4(a).</w:t>
      </w:r>
    </w:p>
    <w:p>
      <w:pPr>
        <w:numPr>
          <w:ilvl w:val="0"/>
          <w:numId w:val="1002"/>
        </w:numPr>
        <w:pStyle w:val="Compact"/>
      </w:pPr>
      <w:r>
        <w:t xml:space="preserve">Divorce Act s 7(4), substituted by Divorce Amendment Act 1 of 2024 s 4(b).</w:t>
      </w:r>
    </w:p>
    <w:p>
      <w:pPr>
        <w:numPr>
          <w:ilvl w:val="0"/>
          <w:numId w:val="1002"/>
        </w:numPr>
        <w:pStyle w:val="Compact"/>
      </w:pPr>
      <w:r>
        <w:t xml:space="preserve">Divorce Act s 7(5)(aA), inserted by Divorce Amendment Act 1 of 2024 s 4(d).</w:t>
      </w:r>
    </w:p>
    <w:p>
      <w:pPr>
        <w:numPr>
          <w:ilvl w:val="0"/>
          <w:numId w:val="1002"/>
        </w:numPr>
        <w:pStyle w:val="Compact"/>
      </w:pPr>
      <w:r>
        <w:t xml:space="preserve">Divorce Act s 5A.</w:t>
      </w:r>
    </w:p>
    <w:p>
      <w:pPr>
        <w:numPr>
          <w:ilvl w:val="0"/>
          <w:numId w:val="1002"/>
        </w:numPr>
        <w:pStyle w:val="Compact"/>
      </w:pPr>
      <w:r>
        <w:t xml:space="preserve">Mujuzi supra n 11.</w:t>
      </w:r>
    </w:p>
    <w:p>
      <w:pPr>
        <w:numPr>
          <w:ilvl w:val="0"/>
          <w:numId w:val="1002"/>
        </w:numPr>
        <w:pStyle w:val="Compact"/>
      </w:pPr>
      <w:r>
        <w:t xml:space="preserve">Divorce Act s 3, as amended by Divorce Amendment Act 1 of 2024 s 2.</w:t>
      </w:r>
    </w:p>
    <w:p>
      <w:pPr>
        <w:numPr>
          <w:ilvl w:val="0"/>
          <w:numId w:val="1002"/>
        </w:numPr>
        <w:pStyle w:val="Compact"/>
      </w:pPr>
      <w:r>
        <w:rPr>
          <w:iCs/>
          <w:i/>
        </w:rPr>
        <w:t xml:space="preserve">E.S v H.Z.A</w:t>
      </w:r>
      <w:r>
        <w:t xml:space="preserve"> </w:t>
      </w:r>
      <w:r>
        <w:t xml:space="preserve">supra n 15.</w:t>
      </w:r>
    </w:p>
    <w:p>
      <w:pPr>
        <w:numPr>
          <w:ilvl w:val="0"/>
          <w:numId w:val="1002"/>
        </w:numPr>
        <w:pStyle w:val="Compact"/>
      </w:pPr>
      <w:r>
        <w:rPr>
          <w:iCs/>
          <w:i/>
        </w:rPr>
        <w:t xml:space="preserve">S.W v A.L</w:t>
      </w:r>
      <w:r>
        <w:t xml:space="preserve"> </w:t>
      </w:r>
      <w:r>
        <w:t xml:space="preserve">(2025/094930) [2025] ZAWCHC 440.</w:t>
      </w:r>
    </w:p>
    <w:p>
      <w:pPr>
        <w:numPr>
          <w:ilvl w:val="0"/>
          <w:numId w:val="1002"/>
        </w:numPr>
        <w:pStyle w:val="Compact"/>
      </w:pPr>
      <w:r>
        <w:rPr>
          <w:iCs/>
          <w:i/>
        </w:rPr>
        <w:t xml:space="preserve">H.A v N.A</w:t>
      </w:r>
      <w:r>
        <w:t xml:space="preserve"> </w:t>
      </w:r>
      <w:r>
        <w:t xml:space="preserve">supra n 13;</w:t>
      </w:r>
      <w:r>
        <w:t xml:space="preserve"> </w:t>
      </w:r>
      <w:r>
        <w:rPr>
          <w:iCs/>
          <w:i/>
        </w:rPr>
        <w:t xml:space="preserve">E.S v H.Z.A</w:t>
      </w:r>
      <w:r>
        <w:t xml:space="preserve"> </w:t>
      </w:r>
      <w:r>
        <w:t xml:space="preserve">supra n 15.</w:t>
      </w:r>
    </w:p>
    <w:p>
      <w:pPr>
        <w:numPr>
          <w:ilvl w:val="0"/>
          <w:numId w:val="1002"/>
        </w:numPr>
        <w:pStyle w:val="Compact"/>
      </w:pPr>
      <w:r>
        <w:t xml:space="preserve">Constitution s 26(3).</w:t>
      </w:r>
    </w:p>
    <w:p>
      <w:pPr>
        <w:numPr>
          <w:ilvl w:val="0"/>
          <w:numId w:val="1002"/>
        </w:numPr>
        <w:pStyle w:val="Compact"/>
      </w:pPr>
      <w:r>
        <w:t xml:space="preserve">Divorce Act ss 7(2), 7(3A) and 7(4).</w:t>
      </w:r>
    </w:p>
    <w:p>
      <w:r>
        <w:pict>
          <v:rect style="width:0;height:1.5pt" o:hralign="center" o:hrstd="t" o:hr="t"/>
        </w:pict>
      </w:r>
    </w:p>
    <w:bookmarkEnd w:id="39"/>
    <w:bookmarkStart w:id="40" w:name="X735afee622550868f4f6031735de47e06eddd85"/>
    <w:p>
      <w:pPr>
        <w:pStyle w:val="Heading2"/>
      </w:pPr>
      <w:r>
        <w:t xml:space="preserve">Verification checklist (not part of the essay; delete before submission)</w:t>
      </w:r>
    </w:p>
    <w:p>
      <w:pPr>
        <w:numPr>
          <w:ilvl w:val="0"/>
          <w:numId w:val="1003"/>
        </w:numPr>
        <w:pStyle w:val="Compact"/>
      </w:pPr>
      <w:r>
        <w:rPr>
          <w:bCs/>
          <w:b/>
        </w:rPr>
        <w:t xml:space="preserve">Paragraph pinpoints.</w:t>
      </w:r>
      <w:r>
        <w:t xml:space="preserve"> </w:t>
      </w:r>
      <w:r>
        <w:t xml:space="preserve">I removed your paragraph numbers for</w:t>
      </w:r>
      <w:r>
        <w:t xml:space="preserve"> </w:t>
      </w:r>
      <w:r>
        <w:rPr>
          <w:iCs/>
          <w:i/>
        </w:rPr>
        <w:t xml:space="preserve">Women’s Legal Centre Trust</w:t>
      </w:r>
      <w:r>
        <w:t xml:space="preserve">,</w:t>
      </w:r>
      <w:r>
        <w:t xml:space="preserve"> </w:t>
      </w:r>
      <w:r>
        <w:rPr>
          <w:iCs/>
          <w:i/>
        </w:rPr>
        <w:t xml:space="preserve">Daniels</w:t>
      </w:r>
      <w:r>
        <w:t xml:space="preserve">,</w:t>
      </w:r>
      <w:r>
        <w:t xml:space="preserve"> </w:t>
      </w:r>
      <w:r>
        <w:rPr>
          <w:iCs/>
          <w:i/>
        </w:rPr>
        <w:t xml:space="preserve">H.A v N.A</w:t>
      </w:r>
      <w:r>
        <w:t xml:space="preserve">,</w:t>
      </w:r>
      <w:r>
        <w:t xml:space="preserve"> </w:t>
      </w:r>
      <w:r>
        <w:rPr>
          <w:iCs/>
          <w:i/>
        </w:rPr>
        <w:t xml:space="preserve">E.S v H.Z.A</w:t>
      </w:r>
      <w:r>
        <w:t xml:space="preserve"> </w:t>
      </w:r>
      <w:r>
        <w:t xml:space="preserve">and</w:t>
      </w:r>
      <w:r>
        <w:t xml:space="preserve"> </w:t>
      </w:r>
      <w:r>
        <w:rPr>
          <w:iCs/>
          <w:i/>
        </w:rPr>
        <w:t xml:space="preserve">S.W v A.L</w:t>
      </w:r>
      <w:r>
        <w:t xml:space="preserve">, because I could not verify them. Re-insert them from the judgments once you have checked them.</w:t>
      </w:r>
    </w:p>
    <w:p>
      <w:pPr>
        <w:numPr>
          <w:ilvl w:val="0"/>
          <w:numId w:val="1003"/>
        </w:numPr>
        <w:pStyle w:val="Compact"/>
      </w:pPr>
      <w:r>
        <w:rPr>
          <w:iCs/>
          <w:i/>
          <w:bCs/>
          <w:b/>
        </w:rPr>
        <w:t xml:space="preserve">E.S v H.Z.A</w:t>
      </w:r>
      <w:r>
        <w:rPr>
          <w:bCs/>
          <w:b/>
        </w:rPr>
        <w:t xml:space="preserve">.</w:t>
      </w:r>
      <w:r>
        <w:t xml:space="preserve"> </w:t>
      </w:r>
      <w:r>
        <w:t xml:space="preserve">Confirm the case number, year, that it is a Full Bench decision, its holding on</w:t>
      </w:r>
      <w:r>
        <w:t xml:space="preserve"> </w:t>
      </w:r>
      <w:r>
        <w:t xml:space="preserve">“</w:t>
      </w:r>
      <w:r>
        <w:t xml:space="preserve">spouse</w:t>
      </w:r>
      <w:r>
        <w:t xml:space="preserve">”</w:t>
      </w:r>
      <w:r>
        <w:t xml:space="preserve"> </w:t>
      </w:r>
      <w:r>
        <w:t xml:space="preserve">in Rule 43, and the SA Law Reports citation. The essay treats it as binding on single judges of the Johannesburg Division. Verify that.</w:t>
      </w:r>
    </w:p>
    <w:p>
      <w:pPr>
        <w:numPr>
          <w:ilvl w:val="0"/>
          <w:numId w:val="1003"/>
        </w:numPr>
        <w:pStyle w:val="Compact"/>
      </w:pPr>
      <w:r>
        <w:rPr>
          <w:bCs/>
          <w:b/>
        </w:rPr>
        <w:t xml:space="preserve">Sections 7(3A), 7(4), 7(5)(aA)</w:t>
      </w:r>
      <w:r>
        <w:t xml:space="preserve"> </w:t>
      </w:r>
      <w:r>
        <w:t xml:space="preserve">and the section numbers of the Amendment Act (ss 3, 4, 5) against the Act in Gazette 50651.</w:t>
      </w:r>
    </w:p>
    <w:p>
      <w:pPr>
        <w:numPr>
          <w:ilvl w:val="0"/>
          <w:numId w:val="1003"/>
        </w:numPr>
        <w:pStyle w:val="Compact"/>
      </w:pPr>
      <w:r>
        <w:rPr>
          <w:bCs/>
          <w:b/>
        </w:rPr>
        <w:t xml:space="preserve">Section 6 quotation.</w:t>
      </w:r>
      <w:r>
        <w:t xml:space="preserve"> </w:t>
      </w:r>
      <w:r>
        <w:t xml:space="preserve">Check the wording against the Gazette.</w:t>
      </w:r>
    </w:p>
    <w:p>
      <w:pPr>
        <w:numPr>
          <w:ilvl w:val="0"/>
          <w:numId w:val="1003"/>
        </w:numPr>
        <w:pStyle w:val="Compact"/>
      </w:pPr>
      <w:r>
        <w:rPr>
          <w:bCs/>
          <w:b/>
        </w:rPr>
        <w:t xml:space="preserve">Heaton (ed) pinpoints</w:t>
      </w:r>
      <w:r>
        <w:t xml:space="preserve"> </w:t>
      </w:r>
      <w:r>
        <w:t xml:space="preserve">in the places marked, and the Moosa and Rautenbach and Sonnekus references. Your earlier draft cited Heaton and Kruger</w:t>
      </w:r>
      <w:r>
        <w:t xml:space="preserve"> </w:t>
      </w:r>
      <w:r>
        <w:rPr>
          <w:iCs/>
          <w:i/>
        </w:rPr>
        <w:t xml:space="preserve">South African Family Law</w:t>
      </w:r>
      <w:r>
        <w:t xml:space="preserve"> </w:t>
      </w:r>
      <w:r>
        <w:t xml:space="preserve">(LexisNexis); I replaced it with the prescribed Heaton (ed). Restore it if you also want that book.</w:t>
      </w:r>
    </w:p>
    <w:p>
      <w:pPr>
        <w:numPr>
          <w:ilvl w:val="0"/>
          <w:numId w:val="1003"/>
        </w:numPr>
        <w:pStyle w:val="Compact"/>
      </w:pPr>
      <w:r>
        <w:rPr>
          <w:bCs/>
          <w:b/>
        </w:rPr>
        <w:t xml:space="preserve">Amien and Mujuzi.</w:t>
      </w:r>
      <w:r>
        <w:t xml:space="preserve"> </w:t>
      </w:r>
      <w:r>
        <w:t xml:space="preserve">Confirm the titles, volume numbers and page ranges.</w:t>
      </w:r>
    </w:p>
    <w:p>
      <w:pPr>
        <w:numPr>
          <w:ilvl w:val="0"/>
          <w:numId w:val="1003"/>
        </w:numPr>
        <w:pStyle w:val="Compact"/>
      </w:pPr>
      <w:r>
        <w:rPr>
          <w:bCs/>
          <w:b/>
        </w:rPr>
        <w:t xml:space="preserve">The 2024 Act date.</w:t>
      </w:r>
      <w:r>
        <w:t xml:space="preserve"> </w:t>
      </w:r>
      <w:r>
        <w:t xml:space="preserve">The Act was assented to on 9 May 2024 and the Gazette notice is dated 14 May 2024. The essay uses 14 May 2024 as commencement. Confirm this.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2026-10-08T07:22:35Z</dcterms:created>
  <dcterms:modified xsi:type="dcterms:W3CDTF">2026-10-08T07:22:35Z</dcterms:modified>
</cp:coreProperties>
</file>

<file path=docProps/custom.xml><?xml version="1.0" encoding="utf-8"?>
<Properties xmlns="http://schemas.openxmlformats.org/officeDocument/2006/custom-properties" xmlns:vt="http://schemas.openxmlformats.org/officeDocument/2006/docPropsVTypes"/>
</file>