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767171"/>
          <w:sz w:val="26"/>
          <w:szCs w:val="26"/>
        </w:rPr>
        <w:t xml:space="preserve">GOBIERNO REGIONAL DE VALPARAÍSO</w:t>
      </w:r>
    </w:p>
    <w:p>
      <w:pPr>
        <w:spacing w:after="800"/>
        <w:jc w:val="center"/>
      </w:pPr>
      <w:r>
        <w:rPr>
          <w:rFonts w:ascii="Calibri" w:cs="Calibri" w:eastAsia="Calibri" w:hAnsi="Calibri"/>
          <w:b w:val="false"/>
          <w:bCs w:val="false"/>
          <w:color w:val="767171"/>
          <w:sz w:val="24"/>
          <w:szCs w:val="24"/>
        </w:rPr>
        <w:t xml:space="preserve">Plataforma de Procesos Participativos Reglados</w:t>
      </w:r>
    </w:p>
    <w:p>
      <w:pPr>
        <w:pBdr>
          <w:bottom w:val="single" w:color="1F3864" w:sz="12" w:space="8"/>
        </w:pBdr>
        <w:spacing w:after="200"/>
        <w:jc w:val="center"/>
      </w:pPr>
      <w:r>
        <w:rPr>
          <w:rFonts w:ascii="Calibri" w:cs="Calibri" w:eastAsia="Calibri" w:hAnsi="Calibri"/>
          <w:b/>
          <w:bCs/>
          <w:color w:val="1F3864"/>
          <w:sz w:val="44"/>
          <w:szCs w:val="44"/>
        </w:rPr>
        <w:t xml:space="preserve">Documento de Diseño UX/UI y Maquetas</w:t>
      </w:r>
    </w:p>
    <w:p>
      <w:pPr>
        <w:spacing w:after="1600"/>
        <w:jc w:val="center"/>
      </w:pPr>
      <w:r>
        <w:rPr>
          <w:rFonts w:ascii="Calibri" w:cs="Calibri" w:eastAsia="Calibri" w:hAnsi="Calibri"/>
          <w:b w:val="false"/>
          <w:bCs w:val="false"/>
          <w:color w:val="767171"/>
          <w:sz w:val="24"/>
          <w:szCs w:val="24"/>
        </w:rPr>
        <w:t xml:space="preserve">Entregable Etapa 2 — Diseño UX/UI</w:t>
      </w:r>
    </w:p>
    <w:p>
      <w:pPr>
        <w:spacing w:after="100"/>
        <w:jc w:val="center"/>
      </w:pPr>
      <w:r>
        <w:rPr>
          <w:rFonts w:ascii="Calibri" w:cs="Calibri" w:eastAsia="Calibri" w:hAnsi="Calibri"/>
          <w:b/>
          <w:bCs/>
          <w:color w:val="000000"/>
          <w:sz w:val="24"/>
          <w:szCs w:val="24"/>
        </w:rPr>
        <w:t xml:space="preserve">Versión 1.1</w:t>
      </w:r>
    </w:p>
    <w:p>
      <w:pPr>
        <w:spacing w:after="100"/>
        <w:jc w:val="center"/>
      </w:pPr>
      <w:r>
        <w:rPr>
          <w:rFonts w:ascii="Calibri" w:cs="Calibri" w:eastAsia="Calibri" w:hAnsi="Calibri"/>
          <w:b w:val="false"/>
          <w:bCs w:val="false"/>
          <w:color w:val="767171"/>
          <w:sz w:val="22"/>
          <w:szCs w:val="22"/>
        </w:rPr>
        <w:t xml:space="preserve">12 de agosto de 2026</w:t>
      </w:r>
    </w:p>
    <w:p>
      <w:pPr>
        <w:spacing w:after="0"/>
        <w:jc w:val="center"/>
      </w:pPr>
      <w:r>
        <w:rPr>
          <w:rFonts w:ascii="Calibri" w:cs="Calibri" w:eastAsia="Calibri" w:hAnsi="Calibri"/>
          <w:b w:val="false"/>
          <w:bCs w:val="false"/>
          <w:color w:val="767171"/>
          <w:sz w:val="22"/>
          <w:szCs w:val="22"/>
        </w:rPr>
        <w:t xml:space="preserve">Elaborado por AWNA</w:t>
      </w:r>
    </w:p>
    <w:p/>
    <w:p>
      <w:pPr>
        <w:sectPr>
          <w:pgSz w:w="11906" w:h="16838" w:orient="portrait"/>
          <w:pgMar w:top="1440" w:right="1134" w:bottom="1440" w:left="1134" w:header="708" w:footer="708" w:gutter="0"/>
          <w:pgNumType/>
          <w:docGrid w:linePitch="360"/>
        </w:sectPr>
      </w:pPr>
    </w:p>
    <w:p>
      <w:pPr>
        <w:spacing w:after="140" w:line="276"/>
        <w:jc w:val="both"/>
      </w:pPr>
      <w:r>
        <w:rPr>
          <w:b/>
          <w:bCs/>
          <w:sz w:val="21"/>
          <w:szCs w:val="21"/>
        </w:rPr>
        <w:t xml:space="preserve">Proyecto:</w:t>
      </w:r>
      <w:r>
        <w:rPr>
          <w:sz w:val="21"/>
          <w:szCs w:val="21"/>
        </w:rPr>
        <w:t xml:space="preserve"> Plataforma de Procesos Participativos Reglados </w:t>
      </w:r>
      <w:r>
        <w:rPr>
          <w:b/>
          <w:bCs/>
          <w:sz w:val="21"/>
          <w:szCs w:val="21"/>
        </w:rPr>
        <w:t xml:space="preserve">Mandante:</w:t>
      </w:r>
      <w:r>
        <w:rPr>
          <w:sz w:val="21"/>
          <w:szCs w:val="21"/>
        </w:rPr>
        <w:t xml:space="preserve"> Gobierno Regional de Valparaíso — Unidad de Ordenamiento Territorial </w:t>
      </w:r>
      <w:r>
        <w:rPr>
          <w:b/>
          <w:bCs/>
          <w:sz w:val="21"/>
          <w:szCs w:val="21"/>
        </w:rPr>
        <w:t xml:space="preserve">Proveedor:</w:t>
      </w:r>
      <w:r>
        <w:rPr>
          <w:sz w:val="21"/>
          <w:szCs w:val="21"/>
        </w:rPr>
        <w:t xml:space="preserve"> AWNA </w:t>
      </w:r>
      <w:r>
        <w:rPr>
          <w:b/>
          <w:bCs/>
          <w:sz w:val="21"/>
          <w:szCs w:val="21"/>
        </w:rPr>
        <w:t xml:space="preserve">Entregable:</w:t>
      </w:r>
      <w:r>
        <w:rPr>
          <w:sz w:val="21"/>
          <w:szCs w:val="21"/>
        </w:rPr>
        <w:t xml:space="preserve"> Etapa 2 — Diseño UX/UI </w:t>
      </w:r>
      <w:r>
        <w:rPr>
          <w:b/>
          <w:bCs/>
          <w:sz w:val="21"/>
          <w:szCs w:val="21"/>
        </w:rPr>
        <w:t xml:space="preserve">Versión:</w:t>
      </w:r>
      <w:r>
        <w:rPr>
          <w:sz w:val="21"/>
          <w:szCs w:val="21"/>
        </w:rPr>
        <w:t xml:space="preserve"> 1.1 · 12 de agosto de 2026</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 Objeto del documento</w:t>
      </w:r>
    </w:p>
    <w:p>
      <w:pPr>
        <w:spacing w:after="140" w:line="276"/>
        <w:jc w:val="both"/>
      </w:pPr>
      <w:r>
        <w:rPr>
          <w:sz w:val="21"/>
          <w:szCs w:val="21"/>
        </w:rPr>
        <w:t xml:space="preserve">Este documento presenta el diseño de interfaz y experiencia de usuario de la plataforma: los criterios que lo guiaron, el sistema de diseño que lo sostiene, la arquitectura de información de ambos entornos y las maquetas de cada pantalla.</w:t>
      </w:r>
    </w:p>
    <w:p>
      <w:pPr>
        <w:spacing w:after="140" w:line="276"/>
        <w:jc w:val="both"/>
      </w:pPr>
      <w:r>
        <w:rPr>
          <w:sz w:val="21"/>
          <w:szCs w:val="21"/>
        </w:rPr>
        <w:t xml:space="preserve">Las maquetas que se presentan </w:t>
      </w:r>
      <w:r>
        <w:rPr>
          <w:b/>
          <w:bCs/>
          <w:sz w:val="21"/>
          <w:szCs w:val="21"/>
        </w:rPr>
        <w:t xml:space="preserve">no son bocetos</w:t>
      </w:r>
      <w:r>
        <w:rPr>
          <w:sz w:val="21"/>
          <w:szCs w:val="21"/>
        </w:rPr>
        <w:t xml:space="preserve">: son capturas de la plataforma construida y en operación. Se optó por documentar el diseño sobre el sistema real en lugar de sobre prototipos estáticos, de modo que lo que la contraparte valida es exactamente lo que recibe. Cada pantalla de este documento es verificable ingresando a la plataforma.</w:t>
      </w:r>
    </w:p>
    <w:p>
      <w:pPr>
        <w:spacing w:after="140" w:line="276"/>
        <w:jc w:val="both"/>
      </w:pPr>
      <w:r>
        <w:rPr>
          <w:sz w:val="21"/>
          <w:szCs w:val="21"/>
        </w:rPr>
        <w:t xml:space="preserve">Los datos visibles en las capturas corresponden a un ambiente de demostración con información de prueba. Los nombres, RUT y correos son ficticios.</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2. Criterios de diseño</w:t>
      </w:r>
    </w:p>
    <w:p>
      <w:pPr>
        <w:spacing w:after="140" w:line="276"/>
        <w:jc w:val="both"/>
      </w:pPr>
      <w:r>
        <w:rPr>
          <w:sz w:val="21"/>
          <w:szCs w:val="21"/>
        </w:rPr>
        <w:t xml:space="preserve">El diseño responde a cinco criterios, en este orden de prioridad:</w:t>
      </w:r>
    </w:p>
    <w:p>
      <w:pPr>
        <w:spacing w:after="140" w:line="276"/>
        <w:jc w:val="both"/>
      </w:pPr>
      <w:r>
        <w:rPr>
          <w:b/>
          <w:bCs/>
          <w:sz w:val="21"/>
          <w:szCs w:val="21"/>
        </w:rPr>
        <w:t xml:space="preserve">1. Identidad institucional.</w:t>
      </w:r>
      <w:r>
        <w:rPr>
          <w:sz w:val="21"/>
          <w:szCs w:val="21"/>
        </w:rPr>
        <w:t xml:space="preserve"> La interfaz aplica las normas gráficas del Gobierno Regional de Valparaíso: escudo institucional, marca </w:t>
      </w:r>
      <w:r>
        <w:rPr>
          <w:i/>
          <w:iCs/>
          <w:sz w:val="21"/>
          <w:szCs w:val="21"/>
        </w:rPr>
        <w:t xml:space="preserve">Región de Derechos</w:t>
      </w:r>
      <w:r>
        <w:rPr>
          <w:sz w:val="21"/>
          <w:szCs w:val="21"/>
        </w:rPr>
        <w:t xml:space="preserve">, identidad del Consejo Regional y la paleta derivada de los colores del escudo. El ciudadano debe reconocer que está en un sitio oficial del GORE desde el primer segundo, sin necesidad de leer el pie de página.</w:t>
      </w:r>
    </w:p>
    <w:p>
      <w:pPr>
        <w:spacing w:after="140" w:line="276"/>
        <w:jc w:val="both"/>
      </w:pPr>
      <w:r>
        <w:rPr>
          <w:b/>
          <w:bCs/>
          <w:sz w:val="21"/>
          <w:szCs w:val="21"/>
        </w:rPr>
        <w:t xml:space="preserve">2. El trámite por sobre la estética.</w:t>
      </w:r>
      <w:r>
        <w:rPr>
          <w:sz w:val="21"/>
          <w:szCs w:val="21"/>
        </w:rPr>
        <w:t xml:space="preserve"> La contraparte fue explícita en el kick-off: no se busca innovación visual. La referencia operativa es el portal de consultas ciudadanas del Ministerio del Medio Ambiente. Cada decisión visual se subordina a que el ciudadano complete su observación.</w:t>
      </w:r>
    </w:p>
    <w:p>
      <w:pPr>
        <w:spacing w:after="140" w:line="276"/>
        <w:jc w:val="both"/>
      </w:pPr>
      <w:r>
        <w:rPr>
          <w:b/>
          <w:bCs/>
          <w:sz w:val="21"/>
          <w:szCs w:val="21"/>
        </w:rPr>
        <w:t xml:space="preserve">3. Lenguaje claro.</w:t>
      </w:r>
      <w:r>
        <w:rPr>
          <w:sz w:val="21"/>
          <w:szCs w:val="21"/>
        </w:rPr>
        <w:t xml:space="preserve"> Las siglas técnicas del ordenamiento territorial (IPT, PROT, ZUBC) no significan nada para quien no es del rubro. La interfaz las acompaña siempre de su denominación completa, y reserva la sigla para las etiquetas compactas donde el espacio no permite el nombre extendido.</w:t>
      </w:r>
    </w:p>
    <w:p>
      <w:pPr>
        <w:spacing w:after="140" w:line="276"/>
        <w:jc w:val="both"/>
      </w:pPr>
      <w:r>
        <w:rPr>
          <w:b/>
          <w:bCs/>
          <w:sz w:val="21"/>
          <w:szCs w:val="21"/>
        </w:rPr>
        <w:t xml:space="preserve">4. Accesibilidad universal.</w:t>
      </w:r>
      <w:r>
        <w:rPr>
          <w:sz w:val="21"/>
          <w:szCs w:val="21"/>
        </w:rPr>
        <w:t xml:space="preserve"> Criterios WCAG 2.1 nivel AA aplicados de forma sistemática, conforme al Kit Digital del Estado.</w:t>
      </w:r>
    </w:p>
    <w:p>
      <w:pPr>
        <w:spacing w:after="140" w:line="276"/>
        <w:jc w:val="both"/>
      </w:pPr>
      <w:r>
        <w:rPr>
          <w:b/>
          <w:bCs/>
          <w:sz w:val="21"/>
          <w:szCs w:val="21"/>
        </w:rPr>
        <w:t xml:space="preserve">5. Confianza en el registro.</w:t>
      </w:r>
      <w:r>
        <w:rPr>
          <w:sz w:val="21"/>
          <w:szCs w:val="21"/>
        </w:rPr>
        <w:t xml:space="preserve"> La participación en una consulta pública es un acto formal. La interfaz refuerza en cada paso que la observación queda registrada en un expediente, quién la firma y qué ocurre después.</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3. Sistema de diseño</w:t>
      </w:r>
    </w:p>
    <w:p>
      <w:pPr>
        <w:pStyle w:val="Heading2"/>
        <w:spacing w:after="120" w:before="240"/>
      </w:pPr>
      <w:r>
        <w:rPr>
          <w:rFonts w:ascii="Calibri" w:cs="Calibri" w:eastAsia="Calibri" w:hAnsi="Calibri"/>
          <w:b/>
          <w:bCs/>
          <w:color w:val="1F3864"/>
          <w:sz w:val="25"/>
          <w:szCs w:val="25"/>
        </w:rPr>
        <w:t xml:space="preserve">3.1 Paleta cromática</w:t>
      </w:r>
    </w:p>
    <w:p>
      <w:pPr>
        <w:spacing w:after="140" w:line="276"/>
        <w:jc w:val="both"/>
      </w:pPr>
      <w:r>
        <w:rPr>
          <w:sz w:val="21"/>
          <w:szCs w:val="21"/>
        </w:rPr>
        <w:t xml:space="preserve">Derivada del escudo institucional y del sistema gráfico del GORE.</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Rol</w:t>
            </w:r>
          </w:p>
        </w:tc>
        <w:tc>
          <w:tcPr>
            <w:tcW w:type="pct" w:w="33%"/>
            <w:shd w:fill="DCE6F1" w:val="clear"/>
            <w:tcMar>
              <w:top w:type="dxa" w:w="60"/>
              <w:left w:type="dxa" w:w="100"/>
              <w:bottom w:type="dxa" w:w="60"/>
              <w:right w:type="dxa" w:w="100"/>
            </w:tcMar>
          </w:tcPr>
          <w:p>
            <w:pPr>
              <w:spacing w:after="20" w:before="20"/>
            </w:pPr>
            <w:r>
              <w:rPr>
                <w:b/>
                <w:bCs/>
                <w:sz w:val="18"/>
                <w:szCs w:val="18"/>
              </w:rPr>
              <w:t xml:space="preserve">Color</w:t>
            </w:r>
          </w:p>
        </w:tc>
        <w:tc>
          <w:tcPr>
            <w:tcW w:type="pct" w:w="33%"/>
            <w:shd w:fill="DCE6F1" w:val="clear"/>
            <w:tcMar>
              <w:top w:type="dxa" w:w="60"/>
              <w:left w:type="dxa" w:w="100"/>
              <w:bottom w:type="dxa" w:w="60"/>
              <w:right w:type="dxa" w:w="100"/>
            </w:tcMar>
          </w:tcPr>
          <w:p>
            <w:pPr>
              <w:spacing w:after="20" w:before="20"/>
            </w:pPr>
            <w:r>
              <w:rPr>
                <w:b/>
                <w:bCs/>
                <w:sz w:val="18"/>
                <w:szCs w:val="18"/>
              </w:rPr>
              <w:t xml:space="preserve">Uso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Azul institucional</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#1F2862</w:t>
            </w:r>
          </w:p>
        </w:tc>
        <w:tc>
          <w:tcPr>
            <w:tcW w:type="pct" w:w="33%"/>
            <w:tcMar>
              <w:top w:type="dxa" w:w="60"/>
              <w:left w:type="dxa" w:w="100"/>
              <w:bottom w:type="dxa" w:w="60"/>
              <w:right w:type="dxa" w:w="100"/>
            </w:tcMar>
          </w:tcPr>
          <w:p>
            <w:pPr>
              <w:spacing w:after="20" w:before="20"/>
            </w:pPr>
            <w:r>
              <w:rPr>
                <w:b w:val="false"/>
                <w:bCs w:val="false"/>
                <w:sz w:val="18"/>
                <w:szCs w:val="18"/>
              </w:rPr>
              <w:t xml:space="preserve">Color primario. Barras, botones principales, titulares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Azul profundo</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#131A47</w:t>
            </w:r>
          </w:p>
        </w:tc>
        <w:tc>
          <w:tcPr>
            <w:tcW w:type="pct" w:w="33%"/>
            <w:tcMar>
              <w:top w:type="dxa" w:w="60"/>
              <w:left w:type="dxa" w:w="100"/>
              <w:bottom w:type="dxa" w:w="60"/>
              <w:right w:type="dxa" w:w="100"/>
            </w:tcMar>
          </w:tcPr>
          <w:p>
            <w:pPr>
              <w:spacing w:after="20" w:before="20"/>
            </w:pPr>
            <w:r>
              <w:rPr>
                <w:b w:val="false"/>
                <w:bCs w:val="false"/>
                <w:sz w:val="18"/>
                <w:szCs w:val="18"/>
              </w:rPr>
              <w:t xml:space="preserve">Estados </w:t>
            </w:r>
            <w:r>
              <w:rPr>
                <w:b w:val="false"/>
                <w:bCs w:val="false"/>
                <w:i/>
                <w:iCs/>
                <w:sz w:val="18"/>
                <w:szCs w:val="18"/>
              </w:rPr>
              <w:t xml:space="preserve">hover</w:t>
            </w:r>
            <w:r>
              <w:rPr>
                <w:b w:val="false"/>
                <w:bCs w:val="false"/>
                <w:sz w:val="18"/>
                <w:szCs w:val="18"/>
              </w:rPr>
              <w:t xml:space="preserve"> y superficies densas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Azul claro</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#3A4796</w:t>
            </w:r>
          </w:p>
        </w:tc>
        <w:tc>
          <w:tcPr>
            <w:tcW w:type="pct" w:w="33%"/>
            <w:tcMar>
              <w:top w:type="dxa" w:w="60"/>
              <w:left w:type="dxa" w:w="100"/>
              <w:bottom w:type="dxa" w:w="60"/>
              <w:right w:type="dxa" w:w="100"/>
            </w:tcMar>
          </w:tcPr>
          <w:p>
            <w:pPr>
              <w:spacing w:after="20" w:before="20"/>
            </w:pPr>
            <w:r>
              <w:rPr>
                <w:b w:val="false"/>
                <w:bCs w:val="false"/>
                <w:sz w:val="18"/>
                <w:szCs w:val="18"/>
              </w:rPr>
              <w:t xml:space="preserve">Acentos y realces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Dorado del escudo</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#ADA267</w:t>
            </w:r>
          </w:p>
        </w:tc>
        <w:tc>
          <w:tcPr>
            <w:tcW w:type="pct" w:w="33%"/>
            <w:tcMar>
              <w:top w:type="dxa" w:w="60"/>
              <w:left w:type="dxa" w:w="100"/>
              <w:bottom w:type="dxa" w:w="60"/>
              <w:right w:type="dxa" w:w="100"/>
            </w:tcMar>
          </w:tcPr>
          <w:p>
            <w:pPr>
              <w:spacing w:after="20" w:before="20"/>
            </w:pPr>
            <w:r>
              <w:rPr>
                <w:b w:val="false"/>
                <w:bCs w:val="false"/>
                <w:sz w:val="18"/>
                <w:szCs w:val="18"/>
              </w:rPr>
              <w:t xml:space="preserve">Detalles de identidad institucional</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Verde del puente</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#8FBE9A</w:t>
            </w:r>
          </w:p>
        </w:tc>
        <w:tc>
          <w:tcPr>
            <w:tcW w:type="pct" w:w="33%"/>
            <w:tcMar>
              <w:top w:type="dxa" w:w="60"/>
              <w:left w:type="dxa" w:w="100"/>
              <w:bottom w:type="dxa" w:w="60"/>
              <w:right w:type="dxa" w:w="100"/>
            </w:tcMar>
          </w:tcPr>
          <w:p>
            <w:pPr>
              <w:spacing w:after="20" w:before="20"/>
            </w:pPr>
            <w:r>
              <w:rPr>
                <w:b w:val="false"/>
                <w:bCs w:val="false"/>
                <w:sz w:val="18"/>
                <w:szCs w:val="18"/>
              </w:rPr>
              <w:t xml:space="preserve">Acento secundario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Tinta</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#0F172A</w:t>
            </w:r>
          </w:p>
        </w:tc>
        <w:tc>
          <w:tcPr>
            <w:tcW w:type="pct" w:w="33%"/>
            <w:tcMar>
              <w:top w:type="dxa" w:w="60"/>
              <w:left w:type="dxa" w:w="100"/>
              <w:bottom w:type="dxa" w:w="60"/>
              <w:right w:type="dxa" w:w="100"/>
            </w:tcMar>
          </w:tcPr>
          <w:p>
            <w:pPr>
              <w:spacing w:after="20" w:before="20"/>
            </w:pPr>
            <w:r>
              <w:rPr>
                <w:b w:val="false"/>
                <w:bCs w:val="false"/>
                <w:sz w:val="18"/>
                <w:szCs w:val="18"/>
              </w:rPr>
              <w:t xml:space="preserve">Texto principal</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Tinta suave</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#475569</w:t>
            </w:r>
          </w:p>
        </w:tc>
        <w:tc>
          <w:tcPr>
            <w:tcW w:type="pct" w:w="33%"/>
            <w:tcMar>
              <w:top w:type="dxa" w:w="60"/>
              <w:left w:type="dxa" w:w="100"/>
              <w:bottom w:type="dxa" w:w="60"/>
              <w:right w:type="dxa" w:w="100"/>
            </w:tcMar>
          </w:tcPr>
          <w:p>
            <w:pPr>
              <w:spacing w:after="20" w:before="20"/>
            </w:pPr>
            <w:r>
              <w:rPr>
                <w:b w:val="false"/>
                <w:bCs w:val="false"/>
                <w:sz w:val="18"/>
                <w:szCs w:val="18"/>
              </w:rPr>
              <w:t xml:space="preserve">Texto secundario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Gris apagado</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#94A3B8</w:t>
            </w:r>
          </w:p>
        </w:tc>
        <w:tc>
          <w:tcPr>
            <w:tcW w:type="pct" w:w="33%"/>
            <w:tcMar>
              <w:top w:type="dxa" w:w="60"/>
              <w:left w:type="dxa" w:w="100"/>
              <w:bottom w:type="dxa" w:w="60"/>
              <w:right w:type="dxa" w:w="100"/>
            </w:tcMar>
          </w:tcPr>
          <w:p>
            <w:pPr>
              <w:spacing w:after="20" w:before="20"/>
            </w:pPr>
            <w:r>
              <w:rPr>
                <w:b w:val="false"/>
                <w:bCs w:val="false"/>
                <w:sz w:val="18"/>
                <w:szCs w:val="18"/>
              </w:rPr>
              <w:t xml:space="preserve">Metadatos y texto deshabilitado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Fondo</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#F8FAFC</w:t>
            </w:r>
          </w:p>
        </w:tc>
        <w:tc>
          <w:tcPr>
            <w:tcW w:type="pct" w:w="33%"/>
            <w:tcMar>
              <w:top w:type="dxa" w:w="60"/>
              <w:left w:type="dxa" w:w="100"/>
              <w:bottom w:type="dxa" w:w="60"/>
              <w:right w:type="dxa" w:w="100"/>
            </w:tcMar>
          </w:tcPr>
          <w:p>
            <w:pPr>
              <w:spacing w:after="20" w:before="20"/>
            </w:pPr>
            <w:r>
              <w:rPr>
                <w:b w:val="false"/>
                <w:bCs w:val="false"/>
                <w:sz w:val="18"/>
                <w:szCs w:val="18"/>
              </w:rPr>
              <w:t xml:space="preserve">Fondo general de página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Superficie</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#FFFFFF</w:t>
            </w:r>
          </w:p>
        </w:tc>
        <w:tc>
          <w:tcPr>
            <w:tcW w:type="pct" w:w="33%"/>
            <w:tcMar>
              <w:top w:type="dxa" w:w="60"/>
              <w:left w:type="dxa" w:w="100"/>
              <w:bottom w:type="dxa" w:w="60"/>
              <w:right w:type="dxa" w:w="100"/>
            </w:tcMar>
          </w:tcPr>
          <w:p>
            <w:pPr>
              <w:spacing w:after="20" w:before="20"/>
            </w:pPr>
            <w:r>
              <w:rPr>
                <w:b w:val="false"/>
                <w:bCs w:val="false"/>
                <w:sz w:val="18"/>
                <w:szCs w:val="18"/>
              </w:rPr>
              <w:t xml:space="preserve">Tarjetas y superficies elevadas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Borde</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#E2E8F0</w:t>
            </w:r>
          </w:p>
        </w:tc>
        <w:tc>
          <w:tcPr>
            <w:tcW w:type="pct" w:w="33%"/>
            <w:tcMar>
              <w:top w:type="dxa" w:w="60"/>
              <w:left w:type="dxa" w:w="100"/>
              <w:bottom w:type="dxa" w:w="60"/>
              <w:right w:type="dxa" w:w="100"/>
            </w:tcMar>
          </w:tcPr>
          <w:p>
            <w:pPr>
              <w:spacing w:after="20" w:before="20"/>
            </w:pPr>
            <w:r>
              <w:rPr>
                <w:b w:val="false"/>
                <w:bCs w:val="false"/>
                <w:sz w:val="18"/>
                <w:szCs w:val="18"/>
              </w:rPr>
              <w:t xml:space="preserve">Separadores sutiles</w:t>
            </w:r>
          </w:p>
        </w:tc>
      </w:tr>
    </w:tbl>
    <w:p>
      <w:pPr>
        <w:spacing w:after="160"/>
      </w:pPr>
    </w:p>
    <w:p>
      <w:pPr>
        <w:spacing w:after="140" w:line="276"/>
        <w:jc w:val="both"/>
      </w:pPr>
      <w:r>
        <w:rPr>
          <w:sz w:val="21"/>
          <w:szCs w:val="21"/>
        </w:rPr>
        <w:t xml:space="preserve">Colores de estado: éxito </w:t>
      </w:r>
      <w:r>
        <w:rPr>
          <w:rFonts w:ascii="Consolas" w:cs="Consolas" w:eastAsia="Consolas" w:hAnsi="Consolas"/>
          <w:color w:val="A31515"/>
          <w:sz w:val="21"/>
          <w:szCs w:val="21"/>
        </w:rPr>
        <w:t xml:space="preserve">#10B981</w:t>
      </w:r>
      <w:r>
        <w:rPr>
          <w:sz w:val="21"/>
          <w:szCs w:val="21"/>
        </w:rPr>
        <w:t xml:space="preserve">, advertencia </w:t>
      </w:r>
      <w:r>
        <w:rPr>
          <w:rFonts w:ascii="Consolas" w:cs="Consolas" w:eastAsia="Consolas" w:hAnsi="Consolas"/>
          <w:color w:val="A31515"/>
          <w:sz w:val="21"/>
          <w:szCs w:val="21"/>
        </w:rPr>
        <w:t xml:space="preserve">#F59E0B</w:t>
      </w:r>
      <w:r>
        <w:rPr>
          <w:sz w:val="21"/>
          <w:szCs w:val="21"/>
        </w:rPr>
        <w:t xml:space="preserve">, error </w:t>
      </w:r>
      <w:r>
        <w:rPr>
          <w:rFonts w:ascii="Consolas" w:cs="Consolas" w:eastAsia="Consolas" w:hAnsi="Consolas"/>
          <w:color w:val="A31515"/>
          <w:sz w:val="21"/>
          <w:szCs w:val="21"/>
        </w:rPr>
        <w:t xml:space="preserve">#EF4444</w:t>
      </w:r>
      <w:r>
        <w:rPr>
          <w:sz w:val="21"/>
          <w:szCs w:val="21"/>
        </w:rPr>
        <w:t xml:space="preserve">, información </w:t>
      </w:r>
      <w:r>
        <w:rPr>
          <w:rFonts w:ascii="Consolas" w:cs="Consolas" w:eastAsia="Consolas" w:hAnsi="Consolas"/>
          <w:color w:val="A31515"/>
          <w:sz w:val="21"/>
          <w:szCs w:val="21"/>
        </w:rPr>
        <w:t xml:space="preserve">#06B6D4</w:t>
      </w:r>
      <w:r>
        <w:rPr>
          <w:sz w:val="21"/>
          <w:szCs w:val="21"/>
        </w:rPr>
        <w:t xml:space="preserve">.</w:t>
      </w:r>
    </w:p>
    <w:p>
      <w:pPr>
        <w:spacing w:after="140" w:line="276"/>
        <w:jc w:val="both"/>
      </w:pPr>
      <w:r>
        <w:rPr>
          <w:sz w:val="21"/>
          <w:szCs w:val="21"/>
        </w:rPr>
        <w:t xml:space="preserve">Todas las combinaciones de texto sobre fondo cumplen la razón de contraste mínima de 4.5:1 exigida por WCAG 2.1 AA.</w:t>
      </w:r>
    </w:p>
    <w:p>
      <w:pPr>
        <w:pStyle w:val="Heading2"/>
        <w:spacing w:after="120" w:before="240"/>
      </w:pPr>
      <w:r>
        <w:rPr>
          <w:rFonts w:ascii="Calibri" w:cs="Calibri" w:eastAsia="Calibri" w:hAnsi="Calibri"/>
          <w:b/>
          <w:bCs/>
          <w:color w:val="1F3864"/>
          <w:sz w:val="25"/>
          <w:szCs w:val="25"/>
        </w:rPr>
        <w:t xml:space="preserve">3.2 Tipografía</w:t>
      </w:r>
    </w:p>
    <w:p>
      <w:pPr>
        <w:spacing w:after="140" w:line="276"/>
        <w:jc w:val="both"/>
      </w:pPr>
      <w:r>
        <w:rPr>
          <w:sz w:val="21"/>
          <w:szCs w:val="21"/>
        </w:rPr>
        <w:t xml:space="preserve">Familia única </w:t>
      </w:r>
      <w:r>
        <w:rPr>
          <w:b/>
          <w:bCs/>
          <w:sz w:val="21"/>
          <w:szCs w:val="21"/>
        </w:rPr>
        <w:t xml:space="preserve">Inter</w:t>
      </w:r>
      <w:r>
        <w:rPr>
          <w:sz w:val="21"/>
          <w:szCs w:val="21"/>
        </w:rPr>
        <w:t xml:space="preserve">, en pesos 400 a 800, servida desde un proveedor con política de privacidad sin rastreo. Se eligió por su alta legibilidad en tamaños pequeños y por su amplia cobertura de caracteres, incluidos los diacríticos del español.</w:t>
      </w:r>
    </w:p>
    <w:p>
      <w:pPr>
        <w:spacing w:after="140" w:line="276"/>
        <w:jc w:val="both"/>
      </w:pPr>
      <w:r>
        <w:rPr>
          <w:sz w:val="21"/>
          <w:szCs w:val="21"/>
        </w:rPr>
        <w:t xml:space="preserve">La jerarquía tipográfica distingue cuatro niveles: titular de página, título de sección, cuerpo de texto y metadato. Los titulares usan pesos altos y espaciado negativo entre letras; el cuerpo mantiene interlineado amplio para favorecer la lectura de textos normativos extensos.</w:t>
      </w:r>
    </w:p>
    <w:p>
      <w:pPr>
        <w:pStyle w:val="Heading2"/>
        <w:spacing w:after="120" w:before="240"/>
      </w:pPr>
      <w:r>
        <w:rPr>
          <w:rFonts w:ascii="Calibri" w:cs="Calibri" w:eastAsia="Calibri" w:hAnsi="Calibri"/>
          <w:b/>
          <w:bCs/>
          <w:color w:val="1F3864"/>
          <w:sz w:val="25"/>
          <w:szCs w:val="25"/>
        </w:rPr>
        <w:t xml:space="preserve">3.3 Forma y profundidad</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Elemento</w:t>
            </w:r>
          </w:p>
        </w:tc>
        <w:tc>
          <w:tcPr>
            <w:tcW w:type="pct" w:w="50%"/>
            <w:shd w:fill="DCE6F1" w:val="clear"/>
            <w:tcMar>
              <w:top w:type="dxa" w:w="60"/>
              <w:left w:type="dxa" w:w="100"/>
              <w:bottom w:type="dxa" w:w="60"/>
              <w:right w:type="dxa" w:w="100"/>
            </w:tcMar>
          </w:tcPr>
          <w:p>
            <w:pPr>
              <w:spacing w:after="20" w:before="20"/>
            </w:pPr>
            <w:r>
              <w:rPr>
                <w:b/>
                <w:bCs/>
                <w:sz w:val="18"/>
                <w:szCs w:val="18"/>
              </w:rPr>
              <w:t xml:space="preserve">Valor</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Radio de esquina, controles pequeños</w:t>
            </w:r>
          </w:p>
        </w:tc>
        <w:tc>
          <w:tcPr>
            <w:tcW w:type="pct" w:w="50%"/>
            <w:tcMar>
              <w:top w:type="dxa" w:w="60"/>
              <w:left w:type="dxa" w:w="100"/>
              <w:bottom w:type="dxa" w:w="60"/>
              <w:right w:type="dxa" w:w="100"/>
            </w:tcMar>
          </w:tcPr>
          <w:p>
            <w:pPr>
              <w:spacing w:after="20" w:before="20"/>
            </w:pPr>
            <w:r>
              <w:rPr>
                <w:b w:val="false"/>
                <w:bCs w:val="false"/>
                <w:sz w:val="18"/>
                <w:szCs w:val="18"/>
              </w:rPr>
              <w:t xml:space="preserve">6 px</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Radio de esquina, campos y botones</w:t>
            </w:r>
          </w:p>
        </w:tc>
        <w:tc>
          <w:tcPr>
            <w:tcW w:type="pct" w:w="50%"/>
            <w:tcMar>
              <w:top w:type="dxa" w:w="60"/>
              <w:left w:type="dxa" w:w="100"/>
              <w:bottom w:type="dxa" w:w="60"/>
              <w:right w:type="dxa" w:w="100"/>
            </w:tcMar>
          </w:tcPr>
          <w:p>
            <w:pPr>
              <w:spacing w:after="20" w:before="20"/>
            </w:pPr>
            <w:r>
              <w:rPr>
                <w:b w:val="false"/>
                <w:bCs w:val="false"/>
                <w:sz w:val="18"/>
                <w:szCs w:val="18"/>
              </w:rPr>
              <w:t xml:space="preserve">10 px</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Radio de esquina, tarjetas</w:t>
            </w:r>
          </w:p>
        </w:tc>
        <w:tc>
          <w:tcPr>
            <w:tcW w:type="pct" w:w="50%"/>
            <w:tcMar>
              <w:top w:type="dxa" w:w="60"/>
              <w:left w:type="dxa" w:w="100"/>
              <w:bottom w:type="dxa" w:w="60"/>
              <w:right w:type="dxa" w:w="100"/>
            </w:tcMar>
          </w:tcPr>
          <w:p>
            <w:pPr>
              <w:spacing w:after="20" w:before="20"/>
            </w:pPr>
            <w:r>
              <w:rPr>
                <w:b w:val="false"/>
                <w:bCs w:val="false"/>
                <w:sz w:val="18"/>
                <w:szCs w:val="18"/>
              </w:rPr>
              <w:t xml:space="preserve">16 px</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Radio de esquina, superficies mayores</w:t>
            </w:r>
          </w:p>
        </w:tc>
        <w:tc>
          <w:tcPr>
            <w:tcW w:type="pct" w:w="50%"/>
            <w:tcMar>
              <w:top w:type="dxa" w:w="60"/>
              <w:left w:type="dxa" w:w="100"/>
              <w:bottom w:type="dxa" w:w="60"/>
              <w:right w:type="dxa" w:w="100"/>
            </w:tcMar>
          </w:tcPr>
          <w:p>
            <w:pPr>
              <w:spacing w:after="20" w:before="20"/>
            </w:pPr>
            <w:r>
              <w:rPr>
                <w:b w:val="false"/>
                <w:bCs w:val="false"/>
                <w:sz w:val="18"/>
                <w:szCs w:val="18"/>
              </w:rPr>
              <w:t xml:space="preserve">24 px</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Etiquetas y píldoras</w:t>
            </w:r>
          </w:p>
        </w:tc>
        <w:tc>
          <w:tcPr>
            <w:tcW w:type="pct" w:w="50%"/>
            <w:tcMar>
              <w:top w:type="dxa" w:w="60"/>
              <w:left w:type="dxa" w:w="100"/>
              <w:bottom w:type="dxa" w:w="60"/>
              <w:right w:type="dxa" w:w="100"/>
            </w:tcMar>
          </w:tcPr>
          <w:p>
            <w:pPr>
              <w:spacing w:after="20" w:before="20"/>
            </w:pPr>
            <w:r>
              <w:rPr>
                <w:b w:val="false"/>
                <w:bCs w:val="false"/>
                <w:sz w:val="18"/>
                <w:szCs w:val="18"/>
              </w:rPr>
              <w:t xml:space="preserve">Radio completo</w:t>
            </w:r>
          </w:p>
        </w:tc>
      </w:tr>
    </w:tbl>
    <w:p>
      <w:pPr>
        <w:spacing w:after="160"/>
      </w:pPr>
    </w:p>
    <w:p>
      <w:pPr>
        <w:spacing w:after="140" w:line="276"/>
        <w:jc w:val="both"/>
      </w:pPr>
      <w:r>
        <w:rPr>
          <w:sz w:val="21"/>
          <w:szCs w:val="21"/>
        </w:rPr>
        <w:t xml:space="preserve">Las sombras usan un tinte azul institucional en lugar de negro puro, en cinco niveles de elevación. Esto integra la profundidad a la paleta y evita el gris sucio que produce el negro translúcido sobre fondos fríos.</w:t>
      </w:r>
    </w:p>
    <w:p>
      <w:pPr>
        <w:pStyle w:val="Heading2"/>
        <w:spacing w:after="120" w:before="240"/>
      </w:pPr>
      <w:r>
        <w:rPr>
          <w:rFonts w:ascii="Calibri" w:cs="Calibri" w:eastAsia="Calibri" w:hAnsi="Calibri"/>
          <w:b/>
          <w:bCs/>
          <w:color w:val="1F3864"/>
          <w:sz w:val="25"/>
          <w:szCs w:val="25"/>
        </w:rPr>
        <w:t xml:space="preserve">3.4 Movimiento</w:t>
      </w:r>
    </w:p>
    <w:p>
      <w:pPr>
        <w:spacing w:after="140" w:line="276"/>
        <w:jc w:val="both"/>
      </w:pPr>
      <w:r>
        <w:rPr>
          <w:sz w:val="21"/>
          <w:szCs w:val="21"/>
        </w:rPr>
        <w:t xml:space="preserve">Las transiciones usan tres duraciones —150 ms, 250 ms y 500 ms— con curvas de aceleración que salen rápido y desaceleran al final. Los bloques de contenido aparecen progresivamente al entrar en el área visible.</w:t>
      </w:r>
    </w:p>
    <w:p>
      <w:pPr>
        <w:spacing w:after="140" w:line="276"/>
        <w:jc w:val="both"/>
      </w:pPr>
      <w:r>
        <w:rPr>
          <w:b/>
          <w:bCs/>
          <w:sz w:val="21"/>
          <w:szCs w:val="21"/>
        </w:rPr>
        <w:t xml:space="preserve">Respeto por la preferencia de movimiento reducido.</w:t>
      </w:r>
      <w:r>
        <w:rPr>
          <w:sz w:val="21"/>
          <w:szCs w:val="21"/>
        </w:rPr>
        <w:t xml:space="preserve"> El sistema detecta la preferencia del sistema operativo del usuario y, cuando está activa, presenta todo el contenido de inmediato sin animación. Es un requisito de accesibilidad para personas con trastornos vestibulares.</w:t>
      </w:r>
    </w:p>
    <w:p>
      <w:pPr>
        <w:pStyle w:val="Heading2"/>
        <w:spacing w:after="120" w:before="240"/>
      </w:pPr>
      <w:r>
        <w:rPr>
          <w:rFonts w:ascii="Calibri" w:cs="Calibri" w:eastAsia="Calibri" w:hAnsi="Calibri"/>
          <w:b/>
          <w:bCs/>
          <w:color w:val="1F3864"/>
          <w:sz w:val="25"/>
          <w:szCs w:val="25"/>
        </w:rPr>
        <w:t xml:space="preserve">3.5 Componentes base</w:t>
      </w:r>
    </w:p>
    <w:p>
      <w:pPr>
        <w:spacing w:after="140" w:line="276"/>
        <w:jc w:val="both"/>
      </w:pPr>
      <w:r>
        <w:rPr>
          <w:sz w:val="21"/>
          <w:szCs w:val="21"/>
        </w:rPr>
        <w:t xml:space="preserve">La interfaz se construye sobre Bootstrap 5.3 con una capa de personalización propia. Los componentes recurrentes son: tarjeta de proceso, etiqueta de estado, etiqueta de tipo de instrumento, barra de progreso de plazo, campo de formulario con etiqueta y mensaje de error asociado, tabla de datos con filtros, y bloque de aviso informativo.</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4. Arquitectura de información</w:t>
      </w:r>
    </w:p>
    <w:p>
      <w:pPr>
        <w:pStyle w:val="Heading2"/>
        <w:spacing w:after="120" w:before="240"/>
      </w:pPr>
      <w:r>
        <w:rPr>
          <w:rFonts w:ascii="Calibri" w:cs="Calibri" w:eastAsia="Calibri" w:hAnsi="Calibri"/>
          <w:b/>
          <w:bCs/>
          <w:color w:val="1F3864"/>
          <w:sz w:val="25"/>
          <w:szCs w:val="25"/>
        </w:rPr>
        <w:t xml:space="preserve">4.1 Portal Ciudadano</w:t>
      </w:r>
    </w:p>
    <w:p>
      <w:pPr>
        <w:shd w:fill="F2F2F2" w:val="clear"/>
        <w:spacing w:after="0" w:before="120"/>
      </w:pPr>
      <w:r>
        <w:rPr>
          <w:rFonts w:ascii="Consolas" w:cs="Consolas" w:eastAsia="Consolas" w:hAnsi="Consolas"/>
          <w:sz w:val="17"/>
          <w:szCs w:val="17"/>
        </w:rPr>
        <w:t xml:space="preserve">Portada</w:t>
      </w:r>
    </w:p>
    <w:p>
      <w:pPr>
        <w:shd w:fill="F2F2F2" w:val="clear"/>
        <w:spacing w:after="0" w:before="0"/>
      </w:pPr>
      <w:r>
        <w:rPr>
          <w:rFonts w:ascii="Consolas" w:cs="Consolas" w:eastAsia="Consolas" w:hAnsi="Consolas"/>
          <w:sz w:val="17"/>
          <w:szCs w:val="17"/>
        </w:rPr>
        <w:t xml:space="preserve">├── Consultas públicas                    (listado con filtros)</w:t>
      </w:r>
    </w:p>
    <w:p>
      <w:pPr>
        <w:shd w:fill="F2F2F2" w:val="clear"/>
        <w:spacing w:after="0" w:before="0"/>
      </w:pPr>
      <w:r>
        <w:rPr>
          <w:rFonts w:ascii="Consolas" w:cs="Consolas" w:eastAsia="Consolas" w:hAnsi="Consolas"/>
          <w:sz w:val="17"/>
          <w:szCs w:val="17"/>
        </w:rPr>
        <w:t xml:space="preserve">│   └── Ficha del proceso</w:t>
      </w:r>
    </w:p>
    <w:p>
      <w:pPr>
        <w:shd w:fill="F2F2F2" w:val="clear"/>
        <w:spacing w:after="0" w:before="0"/>
      </w:pPr>
      <w:r>
        <w:rPr>
          <w:rFonts w:ascii="Consolas" w:cs="Consolas" w:eastAsia="Consolas" w:hAnsi="Consolas"/>
          <w:sz w:val="17"/>
          <w:szCs w:val="17"/>
        </w:rPr>
        <w:t xml:space="preserve">│       ├── Antecedentes técnicos         (descarga)</w:t>
      </w:r>
    </w:p>
    <w:p>
      <w:pPr>
        <w:shd w:fill="F2F2F2" w:val="clear"/>
        <w:spacing w:after="0" w:before="0"/>
      </w:pPr>
      <w:r>
        <w:rPr>
          <w:rFonts w:ascii="Consolas" w:cs="Consolas" w:eastAsia="Consolas" w:hAnsi="Consolas"/>
          <w:sz w:val="17"/>
          <w:szCs w:val="17"/>
        </w:rPr>
        <w:t xml:space="preserve">│       ├── Formulario de observación</w:t>
      </w:r>
    </w:p>
    <w:p>
      <w:pPr>
        <w:shd w:fill="F2F2F2" w:val="clear"/>
        <w:spacing w:after="0" w:before="0"/>
      </w:pPr>
      <w:r>
        <w:rPr>
          <w:rFonts w:ascii="Consolas" w:cs="Consolas" w:eastAsia="Consolas" w:hAnsi="Consolas"/>
          <w:sz w:val="17"/>
          <w:szCs w:val="17"/>
        </w:rPr>
        <w:t xml:space="preserve">│       │   └── Confirmación de envío</w:t>
      </w:r>
    </w:p>
    <w:p>
      <w:pPr>
        <w:shd w:fill="F2F2F2" w:val="clear"/>
        <w:spacing w:after="0" w:before="0"/>
      </w:pPr>
      <w:r>
        <w:rPr>
          <w:rFonts w:ascii="Consolas" w:cs="Consolas" w:eastAsia="Consolas" w:hAnsi="Consolas"/>
          <w:sz w:val="17"/>
          <w:szCs w:val="17"/>
        </w:rPr>
        <w:t xml:space="preserve">│       └── Respuestas institucionales</w:t>
      </w:r>
    </w:p>
    <w:p>
      <w:pPr>
        <w:shd w:fill="F2F2F2" w:val="clear"/>
        <w:spacing w:after="0" w:before="0"/>
      </w:pPr>
      <w:r>
        <w:rPr>
          <w:rFonts w:ascii="Consolas" w:cs="Consolas" w:eastAsia="Consolas" w:hAnsi="Consolas"/>
          <w:sz w:val="17"/>
          <w:szCs w:val="17"/>
        </w:rPr>
        <w:t xml:space="preserve">├── Cómo funciona</w:t>
      </w:r>
    </w:p>
    <w:p>
      <w:pPr>
        <w:shd w:fill="F2F2F2" w:val="clear"/>
        <w:spacing w:after="160" w:before="0"/>
      </w:pPr>
      <w:r>
        <w:rPr>
          <w:rFonts w:ascii="Consolas" w:cs="Consolas" w:eastAsia="Consolas" w:hAnsi="Consolas"/>
          <w:sz w:val="17"/>
          <w:szCs w:val="17"/>
        </w:rPr>
        <w:t xml:space="preserve">└── Preguntas frecuentes</w:t>
      </w:r>
    </w:p>
    <w:p>
      <w:pPr>
        <w:spacing w:after="140" w:line="276"/>
        <w:jc w:val="both"/>
      </w:pPr>
      <w:r>
        <w:rPr>
          <w:sz w:val="21"/>
          <w:szCs w:val="21"/>
        </w:rPr>
        <w:t xml:space="preserve">La navegación es plana a propósito: desde cualquier punto del portal, el ciudadano llega a la ficha de un proceso en un máximo de dos clics.</w:t>
      </w:r>
    </w:p>
    <w:p>
      <w:pPr>
        <w:pStyle w:val="Heading2"/>
        <w:spacing w:after="120" w:before="240"/>
      </w:pPr>
      <w:r>
        <w:rPr>
          <w:rFonts w:ascii="Calibri" w:cs="Calibri" w:eastAsia="Calibri" w:hAnsi="Calibri"/>
          <w:b/>
          <w:bCs/>
          <w:color w:val="1F3864"/>
          <w:sz w:val="25"/>
          <w:szCs w:val="25"/>
        </w:rPr>
        <w:t xml:space="preserve">4.2 Flujo de participación</w:t>
      </w:r>
    </w:p>
    <w:p>
      <w:pPr>
        <w:spacing w:after="140" w:line="276"/>
        <w:jc w:val="both"/>
      </w:pPr>
      <w:r>
        <w:rPr>
          <w:sz w:val="21"/>
          <w:szCs w:val="21"/>
        </w:rPr>
        <w:t xml:space="preserve">El portal presenta el proceso en cuatro pasos explícitos, visibles en la portada: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Paso</w:t>
            </w:r>
          </w:p>
        </w:tc>
        <w:tc>
          <w:tcPr>
            <w:tcW w:type="pct" w:w="33%"/>
            <w:shd w:fill="DCE6F1" w:val="clear"/>
            <w:tcMar>
              <w:top w:type="dxa" w:w="60"/>
              <w:left w:type="dxa" w:w="100"/>
              <w:bottom w:type="dxa" w:w="60"/>
              <w:right w:type="dxa" w:w="100"/>
            </w:tcMar>
          </w:tcPr>
          <w:p>
            <w:pPr>
              <w:spacing w:after="20" w:before="20"/>
            </w:pPr>
            <w:r>
              <w:rPr>
                <w:b/>
                <w:bCs/>
                <w:sz w:val="18"/>
                <w:szCs w:val="18"/>
              </w:rPr>
              <w:t xml:space="preserve">Acción</w:t>
            </w:r>
          </w:p>
        </w:tc>
        <w:tc>
          <w:tcPr>
            <w:tcW w:type="pct" w:w="33%"/>
            <w:shd w:fill="DCE6F1" w:val="clear"/>
            <w:tcMar>
              <w:top w:type="dxa" w:w="60"/>
              <w:left w:type="dxa" w:w="100"/>
              <w:bottom w:type="dxa" w:w="60"/>
              <w:right w:type="dxa" w:w="100"/>
            </w:tcMar>
          </w:tcPr>
          <w:p>
            <w:pPr>
              <w:spacing w:after="20" w:before="20"/>
            </w:pPr>
            <w:r>
              <w:rPr>
                <w:b/>
                <w:bCs/>
                <w:sz w:val="18"/>
                <w:szCs w:val="18"/>
              </w:rPr>
              <w:t xml:space="preserve">Diseño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w:t>
            </w:r>
          </w:p>
        </w:tc>
        <w:tc>
          <w:tcPr>
            <w:tcW w:type="pct" w:w="33%"/>
            <w:tcMar>
              <w:top w:type="dxa" w:w="60"/>
              <w:left w:type="dxa" w:w="100"/>
              <w:bottom w:type="dxa" w:w="60"/>
              <w:right w:type="dxa" w:w="100"/>
            </w:tcMar>
          </w:tcPr>
          <w:p>
            <w:pPr>
              <w:spacing w:after="20" w:before="20"/>
            </w:pPr>
            <w:r>
              <w:rPr>
                <w:b w:val="false"/>
                <w:bCs w:val="false"/>
                <w:sz w:val="18"/>
                <w:szCs w:val="18"/>
              </w:rPr>
              <w:t xml:space="preserve">Selecciona la consulta</w:t>
            </w:r>
          </w:p>
        </w:tc>
        <w:tc>
          <w:tcPr>
            <w:tcW w:type="pct" w:w="33%"/>
            <w:tcMar>
              <w:top w:type="dxa" w:w="60"/>
              <w:left w:type="dxa" w:w="100"/>
              <w:bottom w:type="dxa" w:w="60"/>
              <w:right w:type="dxa" w:w="100"/>
            </w:tcMar>
          </w:tcPr>
          <w:p>
            <w:pPr>
              <w:spacing w:after="20" w:before="20"/>
            </w:pPr>
            <w:r>
              <w:rPr>
                <w:b w:val="false"/>
                <w:bCs w:val="false"/>
                <w:sz w:val="18"/>
                <w:szCs w:val="18"/>
              </w:rPr>
              <w:t xml:space="preserve">Tarjetas con estado y plazo restante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2</w:t>
            </w:r>
          </w:p>
        </w:tc>
        <w:tc>
          <w:tcPr>
            <w:tcW w:type="pct" w:w="33%"/>
            <w:tcMar>
              <w:top w:type="dxa" w:w="60"/>
              <w:left w:type="dxa" w:w="100"/>
              <w:bottom w:type="dxa" w:w="60"/>
              <w:right w:type="dxa" w:w="100"/>
            </w:tcMar>
          </w:tcPr>
          <w:p>
            <w:pPr>
              <w:spacing w:after="20" w:before="20"/>
            </w:pPr>
            <w:r>
              <w:rPr>
                <w:b w:val="false"/>
                <w:bCs w:val="false"/>
                <w:sz w:val="18"/>
                <w:szCs w:val="18"/>
              </w:rPr>
              <w:t xml:space="preserve">Revisa los antecedentes</w:t>
            </w:r>
          </w:p>
        </w:tc>
        <w:tc>
          <w:tcPr>
            <w:tcW w:type="pct" w:w="33%"/>
            <w:tcMar>
              <w:top w:type="dxa" w:w="60"/>
              <w:left w:type="dxa" w:w="100"/>
              <w:bottom w:type="dxa" w:w="60"/>
              <w:right w:type="dxa" w:w="100"/>
            </w:tcMar>
          </w:tcPr>
          <w:p>
            <w:pPr>
              <w:spacing w:after="20" w:before="20"/>
            </w:pPr>
            <w:r>
              <w:rPr>
                <w:b w:val="false"/>
                <w:bCs w:val="false"/>
                <w:sz w:val="18"/>
                <w:szCs w:val="18"/>
              </w:rPr>
              <w:t xml:space="preserve">Panel lateral de documentos descargables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3</w:t>
            </w:r>
          </w:p>
        </w:tc>
        <w:tc>
          <w:tcPr>
            <w:tcW w:type="pct" w:w="33%"/>
            <w:tcMar>
              <w:top w:type="dxa" w:w="60"/>
              <w:left w:type="dxa" w:w="100"/>
              <w:bottom w:type="dxa" w:w="60"/>
              <w:right w:type="dxa" w:w="100"/>
            </w:tcMar>
          </w:tcPr>
          <w:p>
            <w:pPr>
              <w:spacing w:after="20" w:before="20"/>
            </w:pPr>
            <w:r>
              <w:rPr>
                <w:b w:val="false"/>
                <w:bCs w:val="false"/>
                <w:sz w:val="18"/>
                <w:szCs w:val="18"/>
              </w:rPr>
              <w:t xml:space="preserve">Identifícate</w:t>
            </w:r>
          </w:p>
        </w:tc>
        <w:tc>
          <w:tcPr>
            <w:tcW w:type="pct" w:w="33%"/>
            <w:tcMar>
              <w:top w:type="dxa" w:w="60"/>
              <w:left w:type="dxa" w:w="100"/>
              <w:bottom w:type="dxa" w:w="60"/>
              <w:right w:type="dxa" w:w="100"/>
            </w:tcMar>
          </w:tcPr>
          <w:p>
            <w:pPr>
              <w:spacing w:after="20" w:before="20"/>
            </w:pPr>
            <w:r>
              <w:rPr>
                <w:b w:val="false"/>
                <w:bCs w:val="false"/>
                <w:sz w:val="18"/>
                <w:szCs w:val="18"/>
              </w:rPr>
              <w:t xml:space="preserve">ClaveÚnica o participación como invitado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4</w:t>
            </w:r>
          </w:p>
        </w:tc>
        <w:tc>
          <w:tcPr>
            <w:tcW w:type="pct" w:w="33%"/>
            <w:tcMar>
              <w:top w:type="dxa" w:w="60"/>
              <w:left w:type="dxa" w:w="100"/>
              <w:bottom w:type="dxa" w:w="60"/>
              <w:right w:type="dxa" w:w="100"/>
            </w:tcMar>
          </w:tcPr>
          <w:p>
            <w:pPr>
              <w:spacing w:after="20" w:before="20"/>
            </w:pPr>
            <w:r>
              <w:rPr>
                <w:b w:val="false"/>
                <w:bCs w:val="false"/>
                <w:sz w:val="18"/>
                <w:szCs w:val="18"/>
              </w:rPr>
              <w:t xml:space="preserve">Envía tu observación</w:t>
            </w:r>
          </w:p>
        </w:tc>
        <w:tc>
          <w:tcPr>
            <w:tcW w:type="pct" w:w="33%"/>
            <w:tcMar>
              <w:top w:type="dxa" w:w="60"/>
              <w:left w:type="dxa" w:w="100"/>
              <w:bottom w:type="dxa" w:w="60"/>
              <w:right w:type="dxa" w:w="100"/>
            </w:tcMar>
          </w:tcPr>
          <w:p>
            <w:pPr>
              <w:spacing w:after="20" w:before="20"/>
            </w:pPr>
            <w:r>
              <w:rPr>
                <w:b w:val="false"/>
                <w:bCs w:val="false"/>
                <w:sz w:val="18"/>
                <w:szCs w:val="18"/>
              </w:rPr>
              <w:t xml:space="preserve">Formulario con confirmación visual y por correo</w:t>
            </w:r>
          </w:p>
        </w:tc>
      </w:tr>
    </w:tbl>
    <w:p>
      <w:pPr>
        <w:spacing w:after="160"/>
      </w:pPr>
    </w:p>
    <w:p>
      <w:pPr>
        <w:spacing w:after="140" w:line="276"/>
        <w:jc w:val="both"/>
      </w:pPr>
      <w:r>
        <w:rPr>
          <w:sz w:val="21"/>
          <w:szCs w:val="21"/>
        </w:rPr>
        <w:t xml:space="preserve">La decisión de diseño más relevante del flujo es que </w:t>
      </w:r>
      <w:r>
        <w:rPr>
          <w:b/>
          <w:bCs/>
          <w:sz w:val="21"/>
          <w:szCs w:val="21"/>
        </w:rPr>
        <w:t xml:space="preserve">la identificación y la observación ocurren en la misma pantalla</w:t>
      </w:r>
      <w:r>
        <w:rPr>
          <w:sz w:val="21"/>
          <w:szCs w:val="21"/>
        </w:rPr>
        <w:t xml:space="preserve">. El ciudadano que no usa ClaveÚnica no abandona la ficha del proceso: declara su identidad y redacta su observación en un solo formulario continuo. Se eliminó el registro previo de cuenta porque introducía un corte —revisar el correo, volver al sitio, retomar el proceso— donde una fracción relevante de los participantes se perdía.</w:t>
      </w:r>
    </w:p>
    <w:p>
      <w:pPr>
        <w:pStyle w:val="Heading2"/>
        <w:spacing w:after="120" w:before="240"/>
      </w:pPr>
      <w:r>
        <w:rPr>
          <w:rFonts w:ascii="Calibri" w:cs="Calibri" w:eastAsia="Calibri" w:hAnsi="Calibri"/>
          <w:b/>
          <w:bCs/>
          <w:color w:val="1F3864"/>
          <w:sz w:val="25"/>
          <w:szCs w:val="25"/>
        </w:rPr>
        <w:t xml:space="preserve">4.3 Backoffice</w:t>
      </w:r>
    </w:p>
    <w:p>
      <w:pPr>
        <w:shd w:fill="F2F2F2" w:val="clear"/>
        <w:spacing w:after="0" w:before="120"/>
      </w:pPr>
      <w:r>
        <w:rPr>
          <w:rFonts w:ascii="Consolas" w:cs="Consolas" w:eastAsia="Consolas" w:hAnsi="Consolas"/>
          <w:sz w:val="17"/>
          <w:szCs w:val="17"/>
        </w:rPr>
        <w:t xml:space="preserve">Panel de inicio</w:t>
      </w:r>
    </w:p>
    <w:p>
      <w:pPr>
        <w:shd w:fill="F2F2F2" w:val="clear"/>
        <w:spacing w:after="0" w:before="0"/>
      </w:pPr>
      <w:r>
        <w:rPr>
          <w:rFonts w:ascii="Consolas" w:cs="Consolas" w:eastAsia="Consolas" w:hAnsi="Consolas"/>
          <w:sz w:val="17"/>
          <w:szCs w:val="17"/>
        </w:rPr>
        <w:t xml:space="preserve">├── Consultas                             (listado, papelera)</w:t>
      </w:r>
    </w:p>
    <w:p>
      <w:pPr>
        <w:shd w:fill="F2F2F2" w:val="clear"/>
        <w:spacing w:after="0" w:before="0"/>
      </w:pPr>
      <w:r>
        <w:rPr>
          <w:rFonts w:ascii="Consolas" w:cs="Consolas" w:eastAsia="Consolas" w:hAnsi="Consolas"/>
          <w:sz w:val="17"/>
          <w:szCs w:val="17"/>
        </w:rPr>
        <w:t xml:space="preserve">│   ├── Detalle del proceso</w:t>
      </w:r>
    </w:p>
    <w:p>
      <w:pPr>
        <w:shd w:fill="F2F2F2" w:val="clear"/>
        <w:spacing w:after="0" w:before="0"/>
      </w:pPr>
      <w:r>
        <w:rPr>
          <w:rFonts w:ascii="Consolas" w:cs="Consolas" w:eastAsia="Consolas" w:hAnsi="Consolas"/>
          <w:sz w:val="17"/>
          <w:szCs w:val="17"/>
        </w:rPr>
        <w:t xml:space="preserve">│   │   └── Antecedentes técnicos         (carga, reemplazo, versiones)</w:t>
      </w:r>
    </w:p>
    <w:p>
      <w:pPr>
        <w:shd w:fill="F2F2F2" w:val="clear"/>
        <w:spacing w:after="0" w:before="0"/>
      </w:pPr>
      <w:r>
        <w:rPr>
          <w:rFonts w:ascii="Consolas" w:cs="Consolas" w:eastAsia="Consolas" w:hAnsi="Consolas"/>
          <w:sz w:val="17"/>
          <w:szCs w:val="17"/>
        </w:rPr>
        <w:t xml:space="preserve">│   ├── Formulario de creación</w:t>
      </w:r>
    </w:p>
    <w:p>
      <w:pPr>
        <w:shd w:fill="F2F2F2" w:val="clear"/>
        <w:spacing w:after="0" w:before="0"/>
      </w:pPr>
      <w:r>
        <w:rPr>
          <w:rFonts w:ascii="Consolas" w:cs="Consolas" w:eastAsia="Consolas" w:hAnsi="Consolas"/>
          <w:sz w:val="17"/>
          <w:szCs w:val="17"/>
        </w:rPr>
        <w:t xml:space="preserve">│   └── Formulario de edición</w:t>
      </w:r>
    </w:p>
    <w:p>
      <w:pPr>
        <w:shd w:fill="F2F2F2" w:val="clear"/>
        <w:spacing w:after="0" w:before="0"/>
      </w:pPr>
      <w:r>
        <w:rPr>
          <w:rFonts w:ascii="Consolas" w:cs="Consolas" w:eastAsia="Consolas" w:hAnsi="Consolas"/>
          <w:sz w:val="17"/>
          <w:szCs w:val="17"/>
        </w:rPr>
        <w:t xml:space="preserve">├── Observaciones                         (listado, archivadas)</w:t>
      </w:r>
    </w:p>
    <w:p>
      <w:pPr>
        <w:shd w:fill="F2F2F2" w:val="clear"/>
        <w:spacing w:after="0" w:before="0"/>
      </w:pPr>
      <w:r>
        <w:rPr>
          <w:rFonts w:ascii="Consolas" w:cs="Consolas" w:eastAsia="Consolas" w:hAnsi="Consolas"/>
          <w:sz w:val="17"/>
          <w:szCs w:val="17"/>
        </w:rPr>
        <w:t xml:space="preserve">│   ├── Detalle de observación</w:t>
      </w:r>
    </w:p>
    <w:p>
      <w:pPr>
        <w:shd w:fill="F2F2F2" w:val="clear"/>
        <w:spacing w:after="0" w:before="0"/>
      </w:pPr>
      <w:r>
        <w:rPr>
          <w:rFonts w:ascii="Consolas" w:cs="Consolas" w:eastAsia="Consolas" w:hAnsi="Consolas"/>
          <w:sz w:val="17"/>
          <w:szCs w:val="17"/>
        </w:rPr>
        <w:t xml:space="preserve">│   │   └── Respuesta institucional</w:t>
      </w:r>
    </w:p>
    <w:p>
      <w:pPr>
        <w:shd w:fill="F2F2F2" w:val="clear"/>
        <w:spacing w:after="0" w:before="0"/>
      </w:pPr>
      <w:r>
        <w:rPr>
          <w:rFonts w:ascii="Consolas" w:cs="Consolas" w:eastAsia="Consolas" w:hAnsi="Consolas"/>
          <w:sz w:val="17"/>
          <w:szCs w:val="17"/>
        </w:rPr>
        <w:t xml:space="preserve">│   ├── Respuesta por lote</w:t>
      </w:r>
    </w:p>
    <w:p>
      <w:pPr>
        <w:shd w:fill="F2F2F2" w:val="clear"/>
        <w:spacing w:after="0" w:before="0"/>
      </w:pPr>
      <w:r>
        <w:rPr>
          <w:rFonts w:ascii="Consolas" w:cs="Consolas" w:eastAsia="Consolas" w:hAnsi="Consolas"/>
          <w:sz w:val="17"/>
          <w:szCs w:val="17"/>
        </w:rPr>
        <w:t xml:space="preserve">│   └── Exportación CSV / Excel</w:t>
      </w:r>
    </w:p>
    <w:p>
      <w:pPr>
        <w:shd w:fill="F2F2F2" w:val="clear"/>
        <w:spacing w:after="0" w:before="0"/>
      </w:pPr>
      <w:r>
        <w:rPr>
          <w:rFonts w:ascii="Consolas" w:cs="Consolas" w:eastAsia="Consolas" w:hAnsi="Consolas"/>
          <w:sz w:val="17"/>
          <w:szCs w:val="17"/>
        </w:rPr>
        <w:t xml:space="preserve">├── Usuarios                              (solo super-administrador)</w:t>
      </w:r>
    </w:p>
    <w:p>
      <w:pPr>
        <w:shd w:fill="F2F2F2" w:val="clear"/>
        <w:spacing w:after="160" w:before="0"/>
      </w:pPr>
      <w:r>
        <w:rPr>
          <w:rFonts w:ascii="Consolas" w:cs="Consolas" w:eastAsia="Consolas" w:hAnsi="Consolas"/>
          <w:sz w:val="17"/>
          <w:szCs w:val="17"/>
        </w:rPr>
        <w:t xml:space="preserve">└── Bitácora de auditoría                 (solo super-administrador)</w:t>
      </w:r>
    </w:p>
    <w:p>
      <w:pPr>
        <w:spacing w:after="140" w:line="276"/>
        <w:jc w:val="both"/>
      </w:pPr>
      <w:r>
        <w:rPr>
          <w:sz w:val="21"/>
          <w:szCs w:val="21"/>
        </w:rPr>
        <w:t xml:space="preserve">El backoffice usa una barra de navegación horizontal de cinco entradas, sin menús anidados. El criterio fue que un funcionario capacitado una vez pueda operar la plataforma meses después sin volver a consultar el manual.</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5. Maquetas — Portal Ciudadano</w:t>
      </w:r>
    </w:p>
    <w:p>
      <w:pPr>
        <w:pStyle w:val="Heading2"/>
        <w:spacing w:after="120" w:before="240"/>
      </w:pPr>
      <w:r>
        <w:rPr>
          <w:rFonts w:ascii="Calibri" w:cs="Calibri" w:eastAsia="Calibri" w:hAnsi="Calibri"/>
          <w:b/>
          <w:bCs/>
          <w:color w:val="1F3864"/>
          <w:sz w:val="25"/>
          <w:szCs w:val="25"/>
        </w:rPr>
        <w:t xml:space="preserve">5.1 Portada</w:t>
      </w:r>
    </w:p>
    <w:p>
      <w:pPr>
        <w:spacing w:after="60" w:before="160"/>
        <w:jc w:val="center"/>
      </w:pPr>
      <w:r>
        <w:drawing>
          <wp:inline distT="0" distB="0" distL="0" distR="0">
            <wp:extent cx="5229225" cy="876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29225" cy="8763000"/>
                    </a:xfrm>
                    <a:prstGeom prst="rect">
                      <a:avLst/>
                    </a:prstGeom>
                  </pic:spPr>
                </pic:pic>
              </a:graphicData>
            </a:graphic>
          </wp:inline>
        </w:drawing>
      </w:r>
    </w:p>
    <w:p>
      <w:pPr>
        <w:spacing w:after="240"/>
        <w:jc w:val="center"/>
      </w:pPr>
      <w:r>
        <w:rPr>
          <w:i/>
          <w:iCs/>
          <w:color w:val="767171"/>
          <w:sz w:val="17"/>
          <w:szCs w:val="17"/>
        </w:rPr>
        <w:t xml:space="preserve">Portada del portal ciudadano</w:t>
      </w:r>
    </w:p>
    <w:p>
      <w:pPr>
        <w:spacing w:after="140" w:line="276"/>
        <w:jc w:val="both"/>
      </w:pPr>
      <w:r>
        <w:rPr>
          <w:sz w:val="21"/>
          <w:szCs w:val="21"/>
        </w:rPr>
        <w:t xml:space="preserve">La portada resuelve tres preguntas en orden: qué es esto, qué procesos están abiertos y cómo participo.</w:t>
      </w:r>
    </w:p>
    <w:p>
      <w:pPr>
        <w:spacing w:after="140" w:line="276"/>
        <w:jc w:val="both"/>
      </w:pPr>
      <w:r>
        <w:rPr>
          <w:sz w:val="21"/>
          <w:szCs w:val="21"/>
        </w:rPr>
        <w:t xml:space="preserve">El encabezado combina una barra institucional superior —con enlaces al sitio del GORE y a Transparencia— y la barra de navegación con el escudo y la marca </w:t>
      </w:r>
      <w:r>
        <w:rPr>
          <w:i/>
          <w:iCs/>
          <w:sz w:val="21"/>
          <w:szCs w:val="21"/>
        </w:rPr>
        <w:t xml:space="preserve">Región de Derechos</w:t>
      </w:r>
      <w:r>
        <w:rPr>
          <w:sz w:val="21"/>
          <w:szCs w:val="21"/>
        </w:rPr>
        <w:t xml:space="preserve">. El botón de ingreso con ClaveÚnica ocupa la posición de mayor jerarquía del encabezado.</w:t>
      </w:r>
    </w:p>
    <w:p>
      <w:pPr>
        <w:spacing w:after="140" w:line="276"/>
        <w:jc w:val="both"/>
      </w:pPr>
      <w:r>
        <w:rPr>
          <w:sz w:val="21"/>
          <w:szCs w:val="21"/>
        </w:rPr>
        <w:t xml:space="preserve">El bloque principal presenta el propósito de la plataforma junto a una tarjeta destacada del proceso más próximo a cerrar, con su plazo restante, período y número de observaciones recibidas. La barra de progreso comunica visualmente cuánto queda del plazo.</w:t>
      </w:r>
    </w:p>
    <w:p>
      <w:pPr>
        <w:spacing w:after="140" w:line="276"/>
        <w:jc w:val="both"/>
      </w:pPr>
      <w:r>
        <w:rPr>
          <w:sz w:val="21"/>
          <w:szCs w:val="21"/>
        </w:rPr>
        <w:t xml:space="preserve">Bajo el bloque principal, las consultas vigentes se presentan como tarjetas con tipo de instrumento, estado y plazo. Cierran la página el bloque de identidad institucional, los cuatro pasos para participar y una llamada final a la acción.</w:t>
      </w:r>
    </w:p>
    <w:p>
      <w:pPr>
        <w:pStyle w:val="Heading2"/>
        <w:spacing w:after="120" w:before="240"/>
      </w:pPr>
      <w:r>
        <w:rPr>
          <w:rFonts w:ascii="Calibri" w:cs="Calibri" w:eastAsia="Calibri" w:hAnsi="Calibri"/>
          <w:b/>
          <w:bCs/>
          <w:color w:val="1F3864"/>
          <w:sz w:val="25"/>
          <w:szCs w:val="25"/>
        </w:rPr>
        <w:t xml:space="preserve">5.2 Listado de consultas públicas</w:t>
      </w:r>
    </w:p>
    <w:p>
      <w:pPr>
        <w:spacing w:after="60" w:before="160"/>
        <w:jc w:val="center"/>
      </w:pPr>
      <w:r>
        <w:drawing>
          <wp:inline distT="0" distB="0" distL="0" distR="0">
            <wp:extent cx="8153400" cy="832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53400" cy="8324850"/>
                    </a:xfrm>
                    <a:prstGeom prst="rect">
                      <a:avLst/>
                    </a:prstGeom>
                  </pic:spPr>
                </pic:pic>
              </a:graphicData>
            </a:graphic>
          </wp:inline>
        </w:drawing>
      </w:r>
    </w:p>
    <w:p>
      <w:pPr>
        <w:spacing w:after="240"/>
        <w:jc w:val="center"/>
      </w:pPr>
      <w:r>
        <w:rPr>
          <w:i/>
          <w:iCs/>
          <w:color w:val="767171"/>
          <w:sz w:val="17"/>
          <w:szCs w:val="17"/>
        </w:rPr>
        <w:t xml:space="preserve">Listado de consultas públicas</w:t>
      </w:r>
    </w:p>
    <w:p>
      <w:pPr>
        <w:spacing w:after="140" w:line="276"/>
        <w:jc w:val="both"/>
      </w:pPr>
      <w:r>
        <w:rPr>
          <w:sz w:val="21"/>
          <w:szCs w:val="21"/>
        </w:rPr>
        <w:t xml:space="preserve">El listado incorpora los tres filtros que la contraparte identificó como necesarios: búsqueda por texto libre, tipo de instrumento y estado del proceso. El encabezado informa el número de procesos encontrados.</w:t>
      </w:r>
    </w:p>
    <w:p>
      <w:pPr>
        <w:spacing w:after="140" w:line="276"/>
        <w:jc w:val="both"/>
      </w:pPr>
      <w:r>
        <w:rPr>
          <w:sz w:val="21"/>
          <w:szCs w:val="21"/>
        </w:rPr>
        <w:t xml:space="preserve">Cada tarjeta declara el tipo de instrumento y el estado mediante etiquetas diferenciadas por color, y en su pie muestra el dato temporal pertinente según el estado: días restantes si está activa, fecha de inicio si está por comenzar, o la leyenda de proceso cerrado. El número de observaciones recibidas es visible en todos los casos, como señal de que el proceso tiene participación real.</w:t>
      </w:r>
    </w:p>
    <w:p>
      <w:pPr>
        <w:pStyle w:val="Heading2"/>
        <w:spacing w:after="120" w:before="240"/>
      </w:pPr>
      <w:r>
        <w:rPr>
          <w:rFonts w:ascii="Calibri" w:cs="Calibri" w:eastAsia="Calibri" w:hAnsi="Calibri"/>
          <w:b/>
          <w:bCs/>
          <w:color w:val="1F3864"/>
          <w:sz w:val="25"/>
          <w:szCs w:val="25"/>
        </w:rPr>
        <w:t xml:space="preserve">5.3 Ficha del proceso y formulario de participación</w:t>
      </w:r>
    </w:p>
    <w:p>
      <w:pPr>
        <w:spacing w:after="60" w:before="160"/>
        <w:jc w:val="center"/>
      </w:pPr>
      <w:r>
        <w:drawing>
          <wp:inline distT="0" distB="0" distL="0" distR="0">
            <wp:extent cx="4381500" cy="876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8763000"/>
                    </a:xfrm>
                    <a:prstGeom prst="rect">
                      <a:avLst/>
                    </a:prstGeom>
                  </pic:spPr>
                </pic:pic>
              </a:graphicData>
            </a:graphic>
          </wp:inline>
        </w:drawing>
      </w:r>
    </w:p>
    <w:p>
      <w:pPr>
        <w:spacing w:after="240"/>
        <w:jc w:val="center"/>
      </w:pPr>
      <w:r>
        <w:rPr>
          <w:i/>
          <w:iCs/>
          <w:color w:val="767171"/>
          <w:sz w:val="17"/>
          <w:szCs w:val="17"/>
        </w:rPr>
        <w:t xml:space="preserve">Ficha del proceso con formulario de participación</w:t>
      </w:r>
    </w:p>
    <w:p>
      <w:pPr>
        <w:spacing w:after="140" w:line="276"/>
        <w:jc w:val="both"/>
      </w:pPr>
      <w:r>
        <w:rPr>
          <w:sz w:val="21"/>
          <w:szCs w:val="21"/>
        </w:rPr>
        <w:t xml:space="preserve">Es la pantalla central de la plataforma. Su estructura responde al orden en que el ciudadano necesita la información.</w:t>
      </w:r>
    </w:p>
    <w:p>
      <w:pPr>
        <w:spacing w:after="140" w:line="276"/>
        <w:jc w:val="both"/>
      </w:pPr>
      <w:r>
        <w:rPr>
          <w:sz w:val="21"/>
          <w:szCs w:val="21"/>
        </w:rPr>
        <w:t xml:space="preserve">La cabecera presenta el tipo de instrumento, el estado, el título y el resumen. Inmediatamente debajo, una franja institucional destaca las dos cifras que determinan si el ciudadano puede participar —días restantes y observaciones recibidas— junto al botón de acceso directo al formulario.</w:t>
      </w:r>
    </w:p>
    <w:p>
      <w:pPr>
        <w:spacing w:after="140" w:line="276"/>
        <w:jc w:val="both"/>
      </w:pPr>
      <w:r>
        <w:rPr>
          <w:sz w:val="21"/>
          <w:szCs w:val="21"/>
        </w:rPr>
        <w:t xml:space="preserve">El cuerpo se organiza en dos columnas. La columna principal contiene la descripción del proceso y el formulario de participación. La columna lateral agrupa los antecedentes técnicos descargables, con su formato y peso, y la ficha de datos del proceso: tipo de instrumento en su denominación completa, fechas y métodos de identificación admitidos.</w:t>
      </w:r>
    </w:p>
    <w:p>
      <w:pPr>
        <w:spacing w:after="140" w:line="276"/>
        <w:jc w:val="both"/>
      </w:pPr>
      <w:r>
        <w:rPr>
          <w:sz w:val="21"/>
          <w:szCs w:val="21"/>
        </w:rPr>
        <w:t xml:space="preserve">El formulario aplica las decisiones de diseño de participación:</w:t>
      </w:r>
    </w:p>
    <w:p>
      <w:pPr>
        <w:pStyle w:val="ListParagraph"/>
        <w:numPr>
          <w:ilvl w:val="0"/>
          <w:numId w:val="1"/>
        </w:numPr>
        <w:spacing w:after="60"/>
      </w:pPr>
      <w:r>
        <w:rPr>
          <w:b/>
          <w:bCs/>
          <w:sz w:val="21"/>
          <w:szCs w:val="21"/>
        </w:rPr>
        <w:t xml:space="preserve">Aviso inicial</w:t>
      </w:r>
      <w:r>
        <w:rPr>
          <w:sz w:val="21"/>
          <w:szCs w:val="21"/>
        </w:rPr>
        <w:t xml:space="preserve"> que explica en lenguaje directo que la consulta admite</w:t>
      </w:r>
    </w:p>
    <w:p>
      <w:pPr>
        <w:spacing w:after="140" w:line="276"/>
        <w:jc w:val="both"/>
      </w:pPr>
      <w:r>
        <w:rPr>
          <w:sz w:val="21"/>
          <w:szCs w:val="21"/>
        </w:rPr>
        <w:t xml:space="preserve">participación sin registro y qué ocurre con los datos entregados.</w:t>
      </w:r>
    </w:p>
    <w:p>
      <w:pPr>
        <w:pStyle w:val="ListParagraph"/>
        <w:numPr>
          <w:ilvl w:val="0"/>
          <w:numId w:val="1"/>
        </w:numPr>
        <w:spacing w:after="60"/>
      </w:pPr>
      <w:r>
        <w:rPr>
          <w:b/>
          <w:bCs/>
          <w:sz w:val="21"/>
          <w:szCs w:val="21"/>
        </w:rPr>
        <w:t xml:space="preserve">Selección del tipo de participante</w:t>
      </w:r>
      <w:r>
        <w:rPr>
          <w:sz w:val="21"/>
          <w:szCs w:val="21"/>
        </w:rPr>
        <w:t xml:space="preserve"> —persona natural, persona jurídica u</w:t>
      </w:r>
    </w:p>
    <w:p>
      <w:pPr>
        <w:spacing w:after="140" w:line="276"/>
        <w:jc w:val="both"/>
      </w:pPr>
      <w:r>
        <w:rPr>
          <w:sz w:val="21"/>
          <w:szCs w:val="21"/>
        </w:rPr>
        <w:t xml:space="preserve">organización sin personalidad jurídica— como primera decisión, porque determina qué campos de identidad se solicitan. Cada opción lleva una descripción breve que evita la consulta al funcionario.</w:t>
      </w:r>
    </w:p>
    <w:p>
      <w:pPr>
        <w:pStyle w:val="ListParagraph"/>
        <w:numPr>
          <w:ilvl w:val="0"/>
          <w:numId w:val="1"/>
        </w:numPr>
        <w:spacing w:after="60"/>
      </w:pPr>
      <w:r>
        <w:rPr>
          <w:b/>
          <w:bCs/>
          <w:sz w:val="21"/>
          <w:szCs w:val="21"/>
        </w:rPr>
        <w:t xml:space="preserve">Campos de identidad</w:t>
      </w:r>
      <w:r>
        <w:rPr>
          <w:sz w:val="21"/>
          <w:szCs w:val="21"/>
        </w:rPr>
        <w:t xml:space="preserve"> con distinción explícita entre obligatorios y</w:t>
      </w:r>
    </w:p>
    <w:p>
      <w:pPr>
        <w:spacing w:after="140" w:line="276"/>
        <w:jc w:val="both"/>
      </w:pPr>
      <w:r>
        <w:rPr>
          <w:sz w:val="21"/>
          <w:szCs w:val="21"/>
        </w:rPr>
        <w:t xml:space="preserve">opcionales. El tipo de documento permite RUT o pasaporte, de modo que la participación de residentes extranjeros no queda bloqueada.</w:t>
      </w:r>
    </w:p>
    <w:p>
      <w:pPr>
        <w:pStyle w:val="ListParagraph"/>
        <w:numPr>
          <w:ilvl w:val="0"/>
          <w:numId w:val="1"/>
        </w:numPr>
        <w:spacing w:after="60"/>
      </w:pPr>
      <w:r>
        <w:rPr>
          <w:b/>
          <w:bCs/>
          <w:sz w:val="21"/>
          <w:szCs w:val="21"/>
        </w:rPr>
        <w:t xml:space="preserve">Bloque de observación repetible.</w:t>
      </w:r>
      <w:r>
        <w:rPr>
          <w:sz w:val="21"/>
          <w:szCs w:val="21"/>
        </w:rPr>
        <w:t xml:space="preserve"> El botón «Agregar otra observación»</w:t>
      </w:r>
    </w:p>
    <w:p>
      <w:pPr>
        <w:spacing w:after="140" w:line="276"/>
        <w:jc w:val="both"/>
      </w:pPr>
      <w:r>
        <w:rPr>
          <w:sz w:val="21"/>
          <w:szCs w:val="21"/>
        </w:rPr>
        <w:t xml:space="preserve">permite presentar varias observaciones sobre temas distintos en un mismo envío, sin repetir los datos de identidad.</w:t>
      </w:r>
    </w:p>
    <w:p>
      <w:pPr>
        <w:pStyle w:val="ListParagraph"/>
        <w:numPr>
          <w:ilvl w:val="0"/>
          <w:numId w:val="1"/>
        </w:numPr>
        <w:spacing w:after="60"/>
      </w:pPr>
      <w:r>
        <w:rPr>
          <w:b/>
          <w:bCs/>
          <w:sz w:val="21"/>
          <w:szCs w:val="21"/>
        </w:rPr>
        <w:t xml:space="preserve">Contador de caracteres</w:t>
      </w:r>
      <w:r>
        <w:rPr>
          <w:sz w:val="21"/>
          <w:szCs w:val="21"/>
        </w:rPr>
        <w:t xml:space="preserve"> y declaración explícita de los formatos y el peso</w:t>
      </w:r>
    </w:p>
    <w:p>
      <w:pPr>
        <w:spacing w:after="140" w:line="276"/>
        <w:jc w:val="both"/>
      </w:pPr>
      <w:r>
        <w:rPr>
          <w:sz w:val="21"/>
          <w:szCs w:val="21"/>
        </w:rPr>
        <w:t xml:space="preserve">máximo del archivo adjunto, antes de que el ciudadano intente subirlo.</w:t>
      </w:r>
    </w:p>
    <w:p>
      <w:pPr>
        <w:pStyle w:val="ListParagraph"/>
        <w:numPr>
          <w:ilvl w:val="0"/>
          <w:numId w:val="1"/>
        </w:numPr>
        <w:spacing w:after="60"/>
      </w:pPr>
      <w:r>
        <w:rPr>
          <w:b/>
          <w:bCs/>
          <w:sz w:val="21"/>
          <w:szCs w:val="21"/>
        </w:rPr>
        <w:t xml:space="preserve">Declaración de consecuencia</w:t>
      </w:r>
      <w:r>
        <w:rPr>
          <w:sz w:val="21"/>
          <w:szCs w:val="21"/>
        </w:rPr>
        <w:t xml:space="preserve"> junto al botón de envío: la observación pasa a</w:t>
      </w:r>
    </w:p>
    <w:p>
      <w:pPr>
        <w:spacing w:after="140" w:line="276"/>
        <w:jc w:val="both"/>
      </w:pPr>
      <w:r>
        <w:rPr>
          <w:sz w:val="21"/>
          <w:szCs w:val="21"/>
        </w:rPr>
        <w:t xml:space="preserve">formar parte del expediente público del proceso.</w:t>
      </w:r>
    </w:p>
    <w:p>
      <w:pPr>
        <w:pStyle w:val="Heading2"/>
        <w:spacing w:after="120" w:before="240"/>
      </w:pPr>
      <w:r>
        <w:rPr>
          <w:rFonts w:ascii="Calibri" w:cs="Calibri" w:eastAsia="Calibri" w:hAnsi="Calibri"/>
          <w:b/>
          <w:bCs/>
          <w:color w:val="1F3864"/>
          <w:sz w:val="25"/>
          <w:szCs w:val="25"/>
        </w:rPr>
        <w:t xml:space="preserve">5.4 Comportamiento responsive</w:t>
      </w:r>
    </w:p>
    <w:p>
      <w:pPr>
        <w:spacing w:after="60" w:before="160"/>
        <w:jc w:val="center"/>
      </w:pPr>
      <w:r>
        <w:drawing>
          <wp:inline distT="0" distB="0" distL="0" distR="0">
            <wp:extent cx="828675" cy="876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28675" cy="8763000"/>
                    </a:xfrm>
                    <a:prstGeom prst="rect">
                      <a:avLst/>
                    </a:prstGeom>
                  </pic:spPr>
                </pic:pic>
              </a:graphicData>
            </a:graphic>
          </wp:inline>
        </w:drawing>
      </w:r>
    </w:p>
    <w:p>
      <w:pPr>
        <w:spacing w:after="240"/>
        <w:jc w:val="center"/>
      </w:pPr>
      <w:r>
        <w:rPr>
          <w:i/>
          <w:iCs/>
          <w:color w:val="767171"/>
          <w:sz w:val="17"/>
          <w:szCs w:val="17"/>
        </w:rPr>
        <w:t xml:space="preserve">Portada en teléfono</w:t>
      </w:r>
    </w:p>
    <w:p>
      <w:pPr>
        <w:spacing w:after="60" w:before="160"/>
        <w:jc w:val="center"/>
      </w:pPr>
      <w:r>
        <w:drawing>
          <wp:inline distT="0" distB="0" distL="0" distR="0">
            <wp:extent cx="704850" cy="876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04850" cy="8763000"/>
                    </a:xfrm>
                    <a:prstGeom prst="rect">
                      <a:avLst/>
                    </a:prstGeom>
                  </pic:spPr>
                </pic:pic>
              </a:graphicData>
            </a:graphic>
          </wp:inline>
        </w:drawing>
      </w:r>
    </w:p>
    <w:p>
      <w:pPr>
        <w:spacing w:after="240"/>
        <w:jc w:val="center"/>
      </w:pPr>
      <w:r>
        <w:rPr>
          <w:i/>
          <w:iCs/>
          <w:color w:val="767171"/>
          <w:sz w:val="17"/>
          <w:szCs w:val="17"/>
        </w:rPr>
        <w:t xml:space="preserve">Ficha del proceso en teléfono</w:t>
      </w:r>
    </w:p>
    <w:p>
      <w:pPr>
        <w:spacing w:after="140" w:line="276"/>
        <w:jc w:val="both"/>
      </w:pPr>
      <w:r>
        <w:rPr>
          <w:sz w:val="21"/>
          <w:szCs w:val="21"/>
        </w:rPr>
        <w:t xml:space="preserve">El portal está diseñado para operar desde teléfono, que es el dispositivo predominante de acceso ciudadano. La navegación se colapsa en un menú desplegable, las tarjetas pasan a una columna y las cifras del proceso se apilan.</w:t>
      </w:r>
    </w:p>
    <w:p>
      <w:pPr>
        <w:spacing w:after="140" w:line="276"/>
        <w:jc w:val="both"/>
      </w:pPr>
      <w:r>
        <w:rPr>
          <w:sz w:val="21"/>
          <w:szCs w:val="21"/>
        </w:rPr>
        <w:t xml:space="preserve">La decisión específica del comportamiento móvil es el </w:t>
      </w:r>
      <w:r>
        <w:rPr>
          <w:b/>
          <w:bCs/>
          <w:sz w:val="21"/>
          <w:szCs w:val="21"/>
        </w:rPr>
        <w:t xml:space="preserve">orden de los bloques en la ficha del proceso</w:t>
      </w:r>
      <w:r>
        <w:rPr>
          <w:sz w:val="21"/>
          <w:szCs w:val="21"/>
        </w:rPr>
        <w:t xml:space="preserve">: en pantallas angostas, los antecedentes técnicos se presentan </w:t>
      </w:r>
      <w:r>
        <w:rPr>
          <w:i/>
          <w:iCs/>
          <w:sz w:val="21"/>
          <w:szCs w:val="21"/>
        </w:rPr>
        <w:t xml:space="preserve">antes</w:t>
      </w:r>
      <w:r>
        <w:rPr>
          <w:sz w:val="21"/>
          <w:szCs w:val="21"/>
        </w:rPr>
        <w:t xml:space="preserve"> del formulario. En escritorio ocupan la columna lateral y son visibles en paralelo, pero al apilarse quedarían después del formulario, y el ciudadano habría redactado su observación sin haber visto la documentación que debe fundamentarla. El ajuste se incorporó a partir de la revisión de la contraparte.</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6. Maquetas — Backoffice</w:t>
      </w:r>
    </w:p>
    <w:p>
      <w:pPr>
        <w:pStyle w:val="Heading2"/>
        <w:spacing w:after="120" w:before="240"/>
      </w:pPr>
      <w:r>
        <w:rPr>
          <w:rFonts w:ascii="Calibri" w:cs="Calibri" w:eastAsia="Calibri" w:hAnsi="Calibri"/>
          <w:b/>
          <w:bCs/>
          <w:color w:val="1F3864"/>
          <w:sz w:val="25"/>
          <w:szCs w:val="25"/>
        </w:rPr>
        <w:t xml:space="preserve">6.1 Acceso</w:t>
      </w:r>
    </w:p>
    <w:p>
      <w:pPr>
        <w:spacing w:after="60" w:before="160"/>
        <w:jc w:val="center"/>
      </w:pPr>
      <w:r>
        <w:drawing>
          <wp:inline distT="0" distB="0" distL="0" distR="0">
            <wp:extent cx="81534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53400" cy="5095875"/>
                    </a:xfrm>
                    <a:prstGeom prst="rect">
                      <a:avLst/>
                    </a:prstGeom>
                  </pic:spPr>
                </pic:pic>
              </a:graphicData>
            </a:graphic>
          </wp:inline>
        </w:drawing>
      </w:r>
    </w:p>
    <w:p>
      <w:pPr>
        <w:spacing w:after="240"/>
        <w:jc w:val="center"/>
      </w:pPr>
      <w:r>
        <w:rPr>
          <w:i/>
          <w:iCs/>
          <w:color w:val="767171"/>
          <w:sz w:val="17"/>
          <w:szCs w:val="17"/>
        </w:rPr>
        <w:t xml:space="preserve">Pantalla de acceso al backoffice</w:t>
      </w:r>
    </w:p>
    <w:p>
      <w:pPr>
        <w:spacing w:after="140" w:line="276"/>
        <w:jc w:val="both"/>
      </w:pPr>
      <w:r>
        <w:rPr>
          <w:sz w:val="21"/>
          <w:szCs w:val="21"/>
        </w:rPr>
        <w:t xml:space="preserve">El acceso del personal está separado del portal ciudadano y no se enlaza desde la navegación pública, salvo un enlace discreto en el pie de página. Es una decisión deliberada: reduce la superficie de intentos de acceso y evita que el ciudadano confunda ambos entornos.</w:t>
      </w:r>
    </w:p>
    <w:p>
      <w:pPr>
        <w:pStyle w:val="Heading2"/>
        <w:spacing w:after="120" w:before="240"/>
      </w:pPr>
      <w:r>
        <w:rPr>
          <w:rFonts w:ascii="Calibri" w:cs="Calibri" w:eastAsia="Calibri" w:hAnsi="Calibri"/>
          <w:b/>
          <w:bCs/>
          <w:color w:val="1F3864"/>
          <w:sz w:val="25"/>
          <w:szCs w:val="25"/>
        </w:rPr>
        <w:t xml:space="preserve">6.2 Panel de inicio</w:t>
      </w:r>
    </w:p>
    <w:p>
      <w:pPr>
        <w:spacing w:after="60" w:before="160"/>
        <w:jc w:val="center"/>
      </w:pPr>
      <w:r>
        <w:drawing>
          <wp:inline distT="0" distB="0" distL="0" distR="0">
            <wp:extent cx="7791450" cy="876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791450" cy="8763000"/>
                    </a:xfrm>
                    <a:prstGeom prst="rect">
                      <a:avLst/>
                    </a:prstGeom>
                  </pic:spPr>
                </pic:pic>
              </a:graphicData>
            </a:graphic>
          </wp:inline>
        </w:drawing>
      </w:r>
    </w:p>
    <w:p>
      <w:pPr>
        <w:spacing w:after="240"/>
        <w:jc w:val="center"/>
      </w:pPr>
      <w:r>
        <w:rPr>
          <w:i/>
          <w:iCs/>
          <w:color w:val="767171"/>
          <w:sz w:val="17"/>
          <w:szCs w:val="17"/>
        </w:rPr>
        <w:t xml:space="preserve">Panel de inicio del backoffice</w:t>
      </w:r>
    </w:p>
    <w:p>
      <w:pPr>
        <w:spacing w:after="140" w:line="276"/>
        <w:jc w:val="both"/>
      </w:pPr>
      <w:r>
        <w:rPr>
          <w:sz w:val="21"/>
          <w:szCs w:val="21"/>
        </w:rPr>
        <w:t xml:space="preserve">El panel confirma la sesión iniciada y el rol vigente —visible como etiqueta junto al título— y responde la pregunta con que el funcionario abre la plataforma cada mañana: qué pasó desde ayer y qué requiere su atención.</w:t>
      </w:r>
    </w:p>
    <w:p>
      <w:pPr>
        <w:spacing w:after="140" w:line="276"/>
        <w:jc w:val="both"/>
      </w:pPr>
      <w:r>
        <w:rPr>
          <w:sz w:val="21"/>
          <w:szCs w:val="21"/>
        </w:rPr>
        <w:t xml:space="preserve">Cuatro indicadores encabezan la vista: observaciones recibidas, pendientes de respuesta institucional, procesos que hoy admiten participación y observaciones del último mes. El de pendientes es el único con tratamiento cromático propio, porque es el que se traduce en trabajo por hacer.</w:t>
      </w:r>
    </w:p>
    <w:p>
      <w:pPr>
        <w:spacing w:after="140" w:line="276"/>
        <w:jc w:val="both"/>
      </w:pPr>
      <w:r>
        <w:rPr>
          <w:sz w:val="21"/>
          <w:szCs w:val="21"/>
        </w:rPr>
        <w:t xml:space="preserve">Bajo los indicadores, dos desgloses. El de </w:t>
      </w:r>
      <w:r>
        <w:rPr>
          <w:b/>
          <w:bCs/>
          <w:sz w:val="21"/>
          <w:szCs w:val="21"/>
        </w:rPr>
        <w:t xml:space="preserve">observaciones por día</w:t>
      </w:r>
      <w:r>
        <w:rPr>
          <w:sz w:val="21"/>
          <w:szCs w:val="21"/>
        </w:rPr>
        <w:t xml:space="preserve"> cubre los últimos treinta días con los días sin actividad representados en cero, para que un período inactivo se lea como tal y no quede comprimido fuera del gráfico. El de </w:t>
      </w:r>
      <w:r>
        <w:rPr>
          <w:b/>
          <w:bCs/>
          <w:sz w:val="21"/>
          <w:szCs w:val="21"/>
        </w:rPr>
        <w:t xml:space="preserve">observaciones por proceso</w:t>
      </w:r>
      <w:r>
        <w:rPr>
          <w:sz w:val="21"/>
          <w:szCs w:val="21"/>
        </w:rPr>
        <w:t xml:space="preserve"> ordena de mayor a menor e incluye los procesos archivados que recibieron participación, de modo que la suma del desglose siempre cuadre con el total. Cada fila abre el listado de observaciones ya filtrado por ese proceso, que es el paso siguiente natural.</w:t>
      </w:r>
    </w:p>
    <w:p>
      <w:pPr>
        <w:spacing w:after="140" w:line="276"/>
        <w:jc w:val="both"/>
      </w:pPr>
      <w:r>
        <w:rPr>
          <w:sz w:val="21"/>
          <w:szCs w:val="21"/>
        </w:rPr>
        <w:t xml:space="preserve">Los gráficos están construidos en HTML y CSS, sin JavaScript ni librerías externas. Es una decisión deliberada: la política de seguridad de contenido de la plataforma prohíbe la ejecución de scripts en línea y la carga de recursos desde terceros, de modo que una librería de gráficos habría exigido relajar el endurecimiento de seguridad a cambio de nada que el usuario perciba. Los mismos datos del gráfico diario se publican además en una tabla accesible a lectores de pantalla.</w:t>
      </w:r>
    </w:p>
    <w:p>
      <w:pPr>
        <w:spacing w:after="140" w:line="276"/>
        <w:jc w:val="both"/>
      </w:pPr>
      <w:r>
        <w:rPr>
          <w:sz w:val="21"/>
          <w:szCs w:val="21"/>
        </w:rPr>
        <w:t xml:space="preserve">La etiqueta de rol es relevante en operación: las capacidades disponibles difieren entre funcionario y super-administrador, y el funcionario debe saber con qué perfil está actuando.</w:t>
      </w:r>
    </w:p>
    <w:p>
      <w:pPr>
        <w:pStyle w:val="Heading2"/>
        <w:spacing w:after="120" w:before="240"/>
      </w:pPr>
      <w:r>
        <w:rPr>
          <w:rFonts w:ascii="Calibri" w:cs="Calibri" w:eastAsia="Calibri" w:hAnsi="Calibri"/>
          <w:b/>
          <w:bCs/>
          <w:color w:val="1F3864"/>
          <w:sz w:val="25"/>
          <w:szCs w:val="25"/>
        </w:rPr>
        <w:t xml:space="preserve">6.3 Gestión de procesos</w:t>
      </w:r>
    </w:p>
    <w:p>
      <w:pPr>
        <w:spacing w:after="60" w:before="160"/>
        <w:jc w:val="center"/>
      </w:pPr>
      <w:r>
        <w:drawing>
          <wp:inline distT="0" distB="0" distL="0" distR="0">
            <wp:extent cx="81534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153400" cy="5095875"/>
                    </a:xfrm>
                    <a:prstGeom prst="rect">
                      <a:avLst/>
                    </a:prstGeom>
                  </pic:spPr>
                </pic:pic>
              </a:graphicData>
            </a:graphic>
          </wp:inline>
        </w:drawing>
      </w:r>
    </w:p>
    <w:p>
      <w:pPr>
        <w:spacing w:after="240"/>
        <w:jc w:val="center"/>
      </w:pPr>
      <w:r>
        <w:rPr>
          <w:i/>
          <w:iCs/>
          <w:color w:val="767171"/>
          <w:sz w:val="17"/>
          <w:szCs w:val="17"/>
        </w:rPr>
        <w:t xml:space="preserve">Listado de procesos en el backoffice</w:t>
      </w:r>
    </w:p>
    <w:p>
      <w:pPr>
        <w:spacing w:after="60" w:before="160"/>
        <w:jc w:val="center"/>
      </w:pPr>
      <w:r>
        <w:drawing>
          <wp:inline distT="0" distB="0" distL="0" distR="0">
            <wp:extent cx="81534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153400" cy="6105525"/>
                    </a:xfrm>
                    <a:prstGeom prst="rect">
                      <a:avLst/>
                    </a:prstGeom>
                  </pic:spPr>
                </pic:pic>
              </a:graphicData>
            </a:graphic>
          </wp:inline>
        </w:drawing>
      </w:r>
    </w:p>
    <w:p>
      <w:pPr>
        <w:spacing w:after="240"/>
        <w:jc w:val="center"/>
      </w:pPr>
      <w:r>
        <w:rPr>
          <w:i/>
          <w:iCs/>
          <w:color w:val="767171"/>
          <w:sz w:val="17"/>
          <w:szCs w:val="17"/>
        </w:rPr>
        <w:t xml:space="preserve">Detalle de un proceso</w:t>
      </w:r>
    </w:p>
    <w:p>
      <w:pPr>
        <w:spacing w:after="60" w:before="160"/>
        <w:jc w:val="center"/>
      </w:pPr>
      <w:r>
        <w:drawing>
          <wp:inline distT="0" distB="0" distL="0" distR="0">
            <wp:extent cx="815340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153400" cy="6210300"/>
                    </a:xfrm>
                    <a:prstGeom prst="rect">
                      <a:avLst/>
                    </a:prstGeom>
                  </pic:spPr>
                </pic:pic>
              </a:graphicData>
            </a:graphic>
          </wp:inline>
        </w:drawing>
      </w:r>
    </w:p>
    <w:p>
      <w:pPr>
        <w:spacing w:after="240"/>
        <w:jc w:val="center"/>
      </w:pPr>
      <w:r>
        <w:rPr>
          <w:i/>
          <w:iCs/>
          <w:color w:val="767171"/>
          <w:sz w:val="17"/>
          <w:szCs w:val="17"/>
        </w:rPr>
        <w:t xml:space="preserve">Formulario de creación de proceso</w:t>
      </w:r>
    </w:p>
    <w:p>
      <w:pPr>
        <w:spacing w:after="140" w:line="276"/>
        <w:jc w:val="both"/>
      </w:pPr>
      <w:r>
        <w:rPr>
          <w:sz w:val="21"/>
          <w:szCs w:val="21"/>
        </w:rPr>
        <w:t xml:space="preserve">El listado presenta los procesos con su estado y permite acceder a la papelera de procesos archivados, desde donde pueden restaurarse. El detalle reúne la información del proceso y la gestión de sus antecedentes técnicos: carga, reemplazo con versionado e historial de versiones.</w:t>
      </w:r>
    </w:p>
    <w:p>
      <w:pPr>
        <w:spacing w:after="140" w:line="276"/>
        <w:jc w:val="both"/>
      </w:pPr>
      <w:r>
        <w:rPr>
          <w:sz w:val="21"/>
          <w:szCs w:val="21"/>
        </w:rPr>
        <w:t xml:space="preserve">El formulario de creación agrupa los campos en bloques —identificación del proceso, período de participación y métodos de identificación admitidos— y usa etiquetas en lenguaje del dominio territorial, no del modelo de datos.</w:t>
      </w:r>
    </w:p>
    <w:p>
      <w:pPr>
        <w:pStyle w:val="Heading2"/>
        <w:spacing w:after="120" w:before="240"/>
      </w:pPr>
      <w:r>
        <w:rPr>
          <w:rFonts w:ascii="Calibri" w:cs="Calibri" w:eastAsia="Calibri" w:hAnsi="Calibri"/>
          <w:b/>
          <w:bCs/>
          <w:color w:val="1F3864"/>
          <w:sz w:val="25"/>
          <w:szCs w:val="25"/>
        </w:rPr>
        <w:t xml:space="preserve">6.4 Observaciones recibidas</w:t>
      </w:r>
    </w:p>
    <w:p>
      <w:pPr>
        <w:spacing w:after="60" w:before="160"/>
        <w:jc w:val="center"/>
      </w:pPr>
      <w:r>
        <w:drawing>
          <wp:inline distT="0" distB="0" distL="0" distR="0">
            <wp:extent cx="5181600" cy="876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81600" cy="8763000"/>
                    </a:xfrm>
                    <a:prstGeom prst="rect">
                      <a:avLst/>
                    </a:prstGeom>
                  </pic:spPr>
                </pic:pic>
              </a:graphicData>
            </a:graphic>
          </wp:inline>
        </w:drawing>
      </w:r>
    </w:p>
    <w:p>
      <w:pPr>
        <w:spacing w:after="240"/>
        <w:jc w:val="center"/>
      </w:pPr>
      <w:r>
        <w:rPr>
          <w:i/>
          <w:iCs/>
          <w:color w:val="767171"/>
          <w:sz w:val="17"/>
          <w:szCs w:val="17"/>
        </w:rPr>
        <w:t xml:space="preserve">Listado de observaciones recibidas</w:t>
      </w:r>
    </w:p>
    <w:p>
      <w:pPr>
        <w:spacing w:after="140" w:line="276"/>
        <w:jc w:val="both"/>
      </w:pPr>
      <w:r>
        <w:rPr>
          <w:sz w:val="21"/>
          <w:szCs w:val="21"/>
        </w:rPr>
        <w:t xml:space="preserve">Es la pantalla de mayor densidad de información del sistema, y la que más usan los funcionarios durante un proceso activo. Su diseño resuelve cuatro necesidades simultáneas.</w:t>
      </w:r>
    </w:p>
    <w:p>
      <w:pPr>
        <w:spacing w:after="140" w:line="276"/>
        <w:jc w:val="both"/>
      </w:pPr>
      <w:r>
        <w:rPr>
          <w:b/>
          <w:bCs/>
          <w:sz w:val="21"/>
          <w:szCs w:val="21"/>
        </w:rPr>
        <w:t xml:space="preserve">Búsqueda y filtrado.</w:t>
      </w:r>
      <w:r>
        <w:rPr>
          <w:sz w:val="21"/>
          <w:szCs w:val="21"/>
        </w:rPr>
        <w:t xml:space="preserve"> La búsqueda cubre texto, RUT, nombre, correo y el código identificador de la observación. Los filtros permiten acotar por proceso, método de identificación y rango de fechas.</w:t>
      </w:r>
    </w:p>
    <w:p>
      <w:pPr>
        <w:spacing w:after="140" w:line="276"/>
        <w:jc w:val="both"/>
      </w:pPr>
      <w:r>
        <w:rPr>
          <w:b/>
          <w:bCs/>
          <w:sz w:val="21"/>
          <w:szCs w:val="21"/>
        </w:rPr>
        <w:t xml:space="preserve">Lectura en barrido.</w:t>
      </w:r>
      <w:r>
        <w:rPr>
          <w:sz w:val="21"/>
          <w:szCs w:val="21"/>
        </w:rPr>
        <w:t xml:space="preserve"> Cada fila expone fecha y hora, identidad del participante con su RUT y correo, proceso, asunto con un extracto del cuerpo, método de identificación y estado de respuesta. El funcionario puede evaluar una observación sin abrirla.</w:t>
      </w:r>
    </w:p>
    <w:p>
      <w:pPr>
        <w:spacing w:after="140" w:line="276"/>
        <w:jc w:val="both"/>
      </w:pPr>
      <w:r>
        <w:rPr>
          <w:b/>
          <w:bCs/>
          <w:sz w:val="21"/>
          <w:szCs w:val="21"/>
        </w:rPr>
        <w:t xml:space="preserve">Trabajo por lote.</w:t>
      </w:r>
      <w:r>
        <w:rPr>
          <w:sz w:val="21"/>
          <w:szCs w:val="21"/>
        </w:rPr>
        <w:t xml:space="preserve"> La casilla de selección por fila habilita la emisión de una respuesta institucional común a varias observaciones, que es el patrón real de trabajo cuando decenas de participantes plantean la misma materia.</w:t>
      </w:r>
    </w:p>
    <w:p>
      <w:pPr>
        <w:spacing w:after="140" w:line="276"/>
        <w:jc w:val="both"/>
      </w:pPr>
      <w:r>
        <w:rPr>
          <w:b/>
          <w:bCs/>
          <w:sz w:val="21"/>
          <w:szCs w:val="21"/>
        </w:rPr>
        <w:t xml:space="preserve">Separación de lo archivado.</w:t>
      </w:r>
      <w:r>
        <w:rPr>
          <w:sz w:val="21"/>
          <w:szCs w:val="21"/>
        </w:rPr>
        <w:t xml:space="preserve"> Las pestañas </w:t>
      </w:r>
      <w:r>
        <w:rPr>
          <w:i/>
          <w:iCs/>
          <w:sz w:val="21"/>
          <w:szCs w:val="21"/>
        </w:rPr>
        <w:t xml:space="preserve">Recibidas</w:t>
      </w:r>
      <w:r>
        <w:rPr>
          <w:sz w:val="21"/>
          <w:szCs w:val="21"/>
        </w:rPr>
        <w:t xml:space="preserve"> y </w:t>
      </w:r>
      <w:r>
        <w:rPr>
          <w:i/>
          <w:iCs/>
          <w:sz w:val="21"/>
          <w:szCs w:val="21"/>
        </w:rPr>
        <w:t xml:space="preserve">Archivadas</w:t>
      </w:r>
      <w:r>
        <w:rPr>
          <w:sz w:val="21"/>
          <w:szCs w:val="21"/>
        </w:rPr>
        <w:t xml:space="preserve"> mantienen fuera del flujo de trabajo las observaciones retiradas del listado sin destruirlas, preservando el expediente.</w:t>
      </w:r>
    </w:p>
    <w:p>
      <w:pPr>
        <w:spacing w:after="140" w:line="276"/>
        <w:jc w:val="both"/>
      </w:pPr>
      <w:r>
        <w:rPr>
          <w:sz w:val="21"/>
          <w:szCs w:val="21"/>
        </w:rPr>
        <w:t xml:space="preserve">La exportación de la base completa en CSV y Excel está disponible desde el encabezado.</w:t>
      </w:r>
    </w:p>
    <w:p>
      <w:pPr>
        <w:pStyle w:val="Heading2"/>
        <w:spacing w:after="120" w:before="240"/>
      </w:pPr>
      <w:r>
        <w:rPr>
          <w:rFonts w:ascii="Calibri" w:cs="Calibri" w:eastAsia="Calibri" w:hAnsi="Calibri"/>
          <w:b/>
          <w:bCs/>
          <w:color w:val="1F3864"/>
          <w:sz w:val="25"/>
          <w:szCs w:val="25"/>
        </w:rPr>
        <w:t xml:space="preserve">6.5 Detalle de observación</w:t>
      </w:r>
    </w:p>
    <w:p>
      <w:pPr>
        <w:spacing w:after="60" w:before="160"/>
        <w:jc w:val="center"/>
      </w:pPr>
      <w:r>
        <w:drawing>
          <wp:inline distT="0" distB="0" distL="0" distR="0">
            <wp:extent cx="8153400" cy="734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153400" cy="7343775"/>
                    </a:xfrm>
                    <a:prstGeom prst="rect">
                      <a:avLst/>
                    </a:prstGeom>
                  </pic:spPr>
                </pic:pic>
              </a:graphicData>
            </a:graphic>
          </wp:inline>
        </w:drawing>
      </w:r>
    </w:p>
    <w:p>
      <w:pPr>
        <w:spacing w:after="240"/>
        <w:jc w:val="center"/>
      </w:pPr>
      <w:r>
        <w:rPr>
          <w:i/>
          <w:iCs/>
          <w:color w:val="767171"/>
          <w:sz w:val="17"/>
          <w:szCs w:val="17"/>
        </w:rPr>
        <w:t xml:space="preserve">Detalle de una observación</w:t>
      </w:r>
    </w:p>
    <w:p>
      <w:pPr>
        <w:spacing w:after="140" w:line="276"/>
        <w:jc w:val="both"/>
      </w:pPr>
      <w:r>
        <w:rPr>
          <w:sz w:val="21"/>
          <w:szCs w:val="21"/>
        </w:rPr>
        <w:t xml:space="preserve">El detalle presenta la observación íntegra junto al registro de identidad capturado al momento del envío, incluyendo tipo de participante, documento de identidad, datos de contacto y método de identificación empleado. Desde esta pantalla el funcionario descarga el archivo adjunto y emite la respuesta institucional.</w:t>
      </w:r>
    </w:p>
    <w:p>
      <w:pPr>
        <w:pStyle w:val="Heading2"/>
        <w:spacing w:after="120" w:before="240"/>
      </w:pPr>
      <w:r>
        <w:rPr>
          <w:rFonts w:ascii="Calibri" w:cs="Calibri" w:eastAsia="Calibri" w:hAnsi="Calibri"/>
          <w:b/>
          <w:bCs/>
          <w:color w:val="1F3864"/>
          <w:sz w:val="25"/>
          <w:szCs w:val="25"/>
        </w:rPr>
        <w:t xml:space="preserve">6.6 Usuarios y bitácora</w:t>
      </w:r>
    </w:p>
    <w:p>
      <w:pPr>
        <w:spacing w:after="60" w:before="160"/>
        <w:jc w:val="center"/>
      </w:pPr>
      <w:r>
        <w:drawing>
          <wp:inline distT="0" distB="0" distL="0" distR="0">
            <wp:extent cx="81534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153400" cy="5095875"/>
                    </a:xfrm>
                    <a:prstGeom prst="rect">
                      <a:avLst/>
                    </a:prstGeom>
                  </pic:spPr>
                </pic:pic>
              </a:graphicData>
            </a:graphic>
          </wp:inline>
        </w:drawing>
      </w:r>
    </w:p>
    <w:p>
      <w:pPr>
        <w:spacing w:after="240"/>
        <w:jc w:val="center"/>
      </w:pPr>
      <w:r>
        <w:rPr>
          <w:i/>
          <w:iCs/>
          <w:color w:val="767171"/>
          <w:sz w:val="17"/>
          <w:szCs w:val="17"/>
        </w:rPr>
        <w:t xml:space="preserve">Gestión de usuarios</w:t>
      </w:r>
    </w:p>
    <w:p>
      <w:pPr>
        <w:spacing w:after="60" w:before="160"/>
        <w:jc w:val="center"/>
      </w:pPr>
      <w:r>
        <w:drawing>
          <wp:inline distT="0" distB="0" distL="0" distR="0">
            <wp:extent cx="4505325" cy="876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05325" cy="8763000"/>
                    </a:xfrm>
                    <a:prstGeom prst="rect">
                      <a:avLst/>
                    </a:prstGeom>
                  </pic:spPr>
                </pic:pic>
              </a:graphicData>
            </a:graphic>
          </wp:inline>
        </w:drawing>
      </w:r>
    </w:p>
    <w:p>
      <w:pPr>
        <w:spacing w:after="240"/>
        <w:jc w:val="center"/>
      </w:pPr>
      <w:r>
        <w:rPr>
          <w:i/>
          <w:iCs/>
          <w:color w:val="767171"/>
          <w:sz w:val="17"/>
          <w:szCs w:val="17"/>
        </w:rPr>
        <w:t xml:space="preserve">Bitácora de auditoría</w:t>
      </w:r>
    </w:p>
    <w:p>
      <w:pPr>
        <w:spacing w:after="140" w:line="276"/>
        <w:jc w:val="both"/>
      </w:pPr>
      <w:r>
        <w:rPr>
          <w:sz w:val="21"/>
          <w:szCs w:val="21"/>
        </w:rPr>
        <w:t xml:space="preserve">Ambos módulos son exclusivos del super-administrador. La gestión de usuarios permite crear funcionarios, asignar rol y desactivar cuentas —nunca eliminarlas, para preservar la trazabilidad de las acciones registradas a su nombre.</w:t>
      </w:r>
    </w:p>
    <w:p>
      <w:pPr>
        <w:spacing w:after="140" w:line="276"/>
        <w:jc w:val="both"/>
      </w:pPr>
      <w:r>
        <w:rPr>
          <w:sz w:val="21"/>
          <w:szCs w:val="21"/>
        </w:rPr>
        <w:t xml:space="preserve">La bitácora registra las acciones sobre las entidades del sistema con su autor y fecha, excluyendo de su registro los campos sensibles.</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7. Accesibilidad</w:t>
      </w:r>
    </w:p>
    <w:p>
      <w:pPr>
        <w:spacing w:after="140" w:line="276"/>
        <w:jc w:val="both"/>
      </w:pPr>
      <w:r>
        <w:rPr>
          <w:sz w:val="21"/>
          <w:szCs w:val="21"/>
        </w:rPr>
        <w:t xml:space="preserve">Criterios WCAG 2.1 nivel AA aplicados en la construcción:</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Criterio</w:t>
            </w:r>
          </w:p>
        </w:tc>
        <w:tc>
          <w:tcPr>
            <w:tcW w:type="pct" w:w="50%"/>
            <w:shd w:fill="DCE6F1" w:val="clear"/>
            <w:tcMar>
              <w:top w:type="dxa" w:w="60"/>
              <w:left w:type="dxa" w:w="100"/>
              <w:bottom w:type="dxa" w:w="60"/>
              <w:right w:type="dxa" w:w="100"/>
            </w:tcMar>
          </w:tcPr>
          <w:p>
            <w:pPr>
              <w:spacing w:after="20" w:before="20"/>
            </w:pPr>
            <w:r>
              <w:rPr>
                <w:b/>
                <w:bCs/>
                <w:sz w:val="18"/>
                <w:szCs w:val="18"/>
              </w:rPr>
              <w:t xml:space="preserve">Aplicación</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Contraste de color</w:t>
            </w:r>
          </w:p>
        </w:tc>
        <w:tc>
          <w:tcPr>
            <w:tcW w:type="pct" w:w="50%"/>
            <w:tcMar>
              <w:top w:type="dxa" w:w="60"/>
              <w:left w:type="dxa" w:w="100"/>
              <w:bottom w:type="dxa" w:w="60"/>
              <w:right w:type="dxa" w:w="100"/>
            </w:tcMar>
          </w:tcPr>
          <w:p>
            <w:pPr>
              <w:spacing w:after="20" w:before="20"/>
            </w:pPr>
            <w:r>
              <w:rPr>
                <w:b w:val="false"/>
                <w:bCs w:val="false"/>
                <w:sz w:val="18"/>
                <w:szCs w:val="18"/>
              </w:rPr>
              <w:t xml:space="preserve">Todas las combinaciones de texto sobre fondo alcanzan al menos 4.5:1</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Estructura semántica</w:t>
            </w:r>
          </w:p>
        </w:tc>
        <w:tc>
          <w:tcPr>
            <w:tcW w:type="pct" w:w="50%"/>
            <w:tcMar>
              <w:top w:type="dxa" w:w="60"/>
              <w:left w:type="dxa" w:w="100"/>
              <w:bottom w:type="dxa" w:w="60"/>
              <w:right w:type="dxa" w:w="100"/>
            </w:tcMar>
          </w:tcPr>
          <w:p>
            <w:pPr>
              <w:spacing w:after="20" w:before="20"/>
            </w:pPr>
            <w:r>
              <w:rPr>
                <w:b w:val="false"/>
                <w:bCs w:val="false"/>
                <w:sz w:val="18"/>
                <w:szCs w:val="18"/>
              </w:rPr>
              <w:t xml:space="preserve">Encabezados jerárquicos correlativos, listas, tablas con encabezado y regiones de página</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Navegación por teclado</w:t>
            </w:r>
          </w:p>
        </w:tc>
        <w:tc>
          <w:tcPr>
            <w:tcW w:type="pct" w:w="50%"/>
            <w:tcMar>
              <w:top w:type="dxa" w:w="60"/>
              <w:left w:type="dxa" w:w="100"/>
              <w:bottom w:type="dxa" w:w="60"/>
              <w:right w:type="dxa" w:w="100"/>
            </w:tcMar>
          </w:tcPr>
          <w:p>
            <w:pPr>
              <w:spacing w:after="20" w:before="20"/>
            </w:pPr>
            <w:r>
              <w:rPr>
                <w:b w:val="false"/>
                <w:bCs w:val="false"/>
                <w:sz w:val="18"/>
                <w:szCs w:val="18"/>
              </w:rPr>
              <w:t xml:space="preserve">Todos los controles son alcanzables y operables por teclado, con foco visible</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Formularios</w:t>
            </w:r>
          </w:p>
        </w:tc>
        <w:tc>
          <w:tcPr>
            <w:tcW w:type="pct" w:w="50%"/>
            <w:tcMar>
              <w:top w:type="dxa" w:w="60"/>
              <w:left w:type="dxa" w:w="100"/>
              <w:bottom w:type="dxa" w:w="60"/>
              <w:right w:type="dxa" w:w="100"/>
            </w:tcMar>
          </w:tcPr>
          <w:p>
            <w:pPr>
              <w:spacing w:after="20" w:before="20"/>
            </w:pPr>
            <w:r>
              <w:rPr>
                <w:b w:val="false"/>
                <w:bCs w:val="false"/>
                <w:sz w:val="18"/>
                <w:szCs w:val="18"/>
              </w:rPr>
              <w:t xml:space="preserve">Cada campo tiene etiqueta asociada; los mensajes de error se vinculan al campo y describen la corrección</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Imágenes</w:t>
            </w:r>
          </w:p>
        </w:tc>
        <w:tc>
          <w:tcPr>
            <w:tcW w:type="pct" w:w="50%"/>
            <w:tcMar>
              <w:top w:type="dxa" w:w="60"/>
              <w:left w:type="dxa" w:w="100"/>
              <w:bottom w:type="dxa" w:w="60"/>
              <w:right w:type="dxa" w:w="100"/>
            </w:tcMar>
          </w:tcPr>
          <w:p>
            <w:pPr>
              <w:spacing w:after="20" w:before="20"/>
            </w:pPr>
            <w:r>
              <w:rPr>
                <w:b w:val="false"/>
                <w:bCs w:val="false"/>
                <w:sz w:val="18"/>
                <w:szCs w:val="18"/>
              </w:rPr>
              <w:t xml:space="preserve">Texto alternativo en imágenes con contenido; las decorativas se ocultan de los lectores de pantalla</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Independencia del color</w:t>
            </w:r>
          </w:p>
        </w:tc>
        <w:tc>
          <w:tcPr>
            <w:tcW w:type="pct" w:w="50%"/>
            <w:tcMar>
              <w:top w:type="dxa" w:w="60"/>
              <w:left w:type="dxa" w:w="100"/>
              <w:bottom w:type="dxa" w:w="60"/>
              <w:right w:type="dxa" w:w="100"/>
            </w:tcMar>
          </w:tcPr>
          <w:p>
            <w:pPr>
              <w:spacing w:after="20" w:before="20"/>
            </w:pPr>
            <w:r>
              <w:rPr>
                <w:b w:val="false"/>
                <w:bCs w:val="false"/>
                <w:sz w:val="18"/>
                <w:szCs w:val="18"/>
              </w:rPr>
              <w:t xml:space="preserve">El estado de un proceso se comunica por color y por texto, nunca solo por color</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Movimiento</w:t>
            </w:r>
          </w:p>
        </w:tc>
        <w:tc>
          <w:tcPr>
            <w:tcW w:type="pct" w:w="50%"/>
            <w:tcMar>
              <w:top w:type="dxa" w:w="60"/>
              <w:left w:type="dxa" w:w="100"/>
              <w:bottom w:type="dxa" w:w="60"/>
              <w:right w:type="dxa" w:w="100"/>
            </w:tcMar>
          </w:tcPr>
          <w:p>
            <w:pPr>
              <w:spacing w:after="20" w:before="20"/>
            </w:pPr>
            <w:r>
              <w:rPr>
                <w:b w:val="false"/>
                <w:bCs w:val="false"/>
                <w:sz w:val="18"/>
                <w:szCs w:val="18"/>
              </w:rPr>
              <w:t xml:space="preserve">Se respeta la preferencia de movimiento reducido del sistema operativo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Redimensionado</w:t>
            </w:r>
          </w:p>
        </w:tc>
        <w:tc>
          <w:tcPr>
            <w:tcW w:type="pct" w:w="50%"/>
            <w:tcMar>
              <w:top w:type="dxa" w:w="60"/>
              <w:left w:type="dxa" w:w="100"/>
              <w:bottom w:type="dxa" w:w="60"/>
              <w:right w:type="dxa" w:w="100"/>
            </w:tcMar>
          </w:tcPr>
          <w:p>
            <w:pPr>
              <w:spacing w:after="20" w:before="20"/>
            </w:pPr>
            <w:r>
              <w:rPr>
                <w:b w:val="false"/>
                <w:bCs w:val="false"/>
                <w:sz w:val="18"/>
                <w:szCs w:val="18"/>
              </w:rPr>
              <w:t xml:space="preserve">El contenido es utilizable con la tipografía ampliada al 200%</w:t>
            </w:r>
          </w:p>
        </w:tc>
      </w:tr>
    </w:tbl>
    <w:p>
      <w:pPr>
        <w:spacing w:after="160"/>
      </w:pPr>
    </w:p>
    <w:p>
      <w:pPr>
        <w:spacing w:after="140" w:line="276"/>
        <w:jc w:val="both"/>
      </w:pPr>
      <w:r>
        <w:rPr>
          <w:b/>
          <w:bCs/>
          <w:sz w:val="21"/>
          <w:szCs w:val="21"/>
        </w:rPr>
        <w:t xml:space="preserve">Alcance de la verificación.</w:t>
      </w:r>
      <w:r>
        <w:rPr>
          <w:sz w:val="21"/>
          <w:szCs w:val="21"/>
        </w:rPr>
        <w:t xml:space="preserve"> Los criterios se aplicaron durante el diseño y la construcción. No se ejecutó una auditoría formal de conformidad por un tercero certificador. Si el GORE la requiere como parte de la recepción, es una actividad acotada que puede realizarse sobre la plataforma ya desplegada.</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8. Nota sobre el acceso con ClaveÚnica en las maquetas</w:t>
      </w:r>
    </w:p>
    <w:p>
      <w:pPr>
        <w:spacing w:after="140" w:line="276"/>
        <w:jc w:val="both"/>
      </w:pPr>
      <w:r>
        <w:rPr>
          <w:sz w:val="21"/>
          <w:szCs w:val="21"/>
        </w:rPr>
        <w:t xml:space="preserve">Las capturas muestran el botón de ingreso con ClaveÚnica y la mención a ese método en el formulario de participación, porque forman parte del diseño contratado y están implementados en la plataforma.</w:t>
      </w:r>
    </w:p>
    <w:p>
      <w:pPr>
        <w:spacing w:after="140" w:line="276"/>
        <w:jc w:val="both"/>
      </w:pPr>
      <w:r>
        <w:rPr>
          <w:sz w:val="21"/>
          <w:szCs w:val="21"/>
        </w:rPr>
        <w:t xml:space="preserve">A la fecha de este documento, </w:t>
      </w:r>
      <w:r>
        <w:rPr>
          <w:b/>
          <w:bCs/>
          <w:sz w:val="21"/>
          <w:szCs w:val="21"/>
        </w:rPr>
        <w:t xml:space="preserve">la entrada por ClaveÚnica está oculta en el ambiente productivo</w:t>
      </w:r>
      <w:r>
        <w:rPr>
          <w:sz w:val="21"/>
          <w:szCs w:val="21"/>
        </w:rPr>
        <w:t xml:space="preserve">, a la espera de que la Unidad de Gobierno Digital emita las credenciales de integración. Mientras tanto, la plataforma opera con la participación sin registro, que preserva la exigencia de identidad obligatoria. Cuando las credenciales estén disponibles, la entrada se activa mediante configuración, sin desarrollo adicional ni cambios en el diseño aquí presentado.</w:t>
      </w:r>
    </w:p>
    <w:p>
      <w:pPr>
        <w:spacing w:after="140" w:line="276"/>
        <w:jc w:val="both"/>
      </w:pPr>
      <w:r>
        <w:rPr>
          <w:sz w:val="21"/>
          <w:szCs w:val="21"/>
        </w:rPr>
        <w:t xml:space="preserve">El detalle de esta dependencia está en el </w:t>
      </w:r>
      <w:r>
        <w:rPr>
          <w:i/>
          <w:iCs/>
          <w:sz w:val="21"/>
          <w:szCs w:val="21"/>
        </w:rPr>
        <w:t xml:space="preserve">Documento de Requerimientos</w:t>
      </w:r>
      <w:r>
        <w:rPr>
          <w:sz w:val="21"/>
          <w:szCs w:val="21"/>
        </w:rPr>
        <w:t xml:space="preserve">, sección 11, y en </w:t>
      </w:r>
      <w:r>
        <w:rPr>
          <w:rFonts w:ascii="Consolas" w:cs="Consolas" w:eastAsia="Consolas" w:hAnsi="Consolas"/>
          <w:color w:val="A31515"/>
          <w:sz w:val="21"/>
          <w:szCs w:val="21"/>
        </w:rPr>
        <w:t xml:space="preserve">docs/claveunica/solicitud-credenciales.md</w:t>
      </w:r>
      <w:r>
        <w:rPr>
          <w:sz w:val="21"/>
          <w:szCs w:val="21"/>
        </w:rPr>
        <w:t xml:space="preserve">.</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9. Validación</w:t>
      </w:r>
    </w:p>
    <w:p>
      <w:pPr>
        <w:spacing w:after="140" w:line="276"/>
        <w:jc w:val="both"/>
      </w:pPr>
      <w:r>
        <w:rPr>
          <w:sz w:val="21"/>
          <w:szCs w:val="21"/>
        </w:rPr>
        <w:t xml:space="preserve">El diseño fue sometido a revisión de la contraparte del GORE durante la ejecución del proyecto. Los ajustes solicitados en el Acta de Observaciones de junio de 2026 y en las revisiones de julio de 2026 se encuentran incorporados en las maquetas de este documento. Entre ellos:</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Ajuste solicitado</w:t>
            </w:r>
          </w:p>
        </w:tc>
        <w:tc>
          <w:tcPr>
            <w:tcW w:type="pct" w:w="50%"/>
            <w:shd w:fill="DCE6F1" w:val="clear"/>
            <w:tcMar>
              <w:top w:type="dxa" w:w="60"/>
              <w:left w:type="dxa" w:w="100"/>
              <w:bottom w:type="dxa" w:w="60"/>
              <w:right w:type="dxa" w:w="100"/>
            </w:tcMar>
          </w:tcPr>
          <w:p>
            <w:pPr>
              <w:spacing w:after="20" w:before="20"/>
            </w:pPr>
            <w:r>
              <w:rPr>
                <w:b/>
                <w:bCs/>
                <w:sz w:val="18"/>
                <w:szCs w:val="18"/>
              </w:rPr>
              <w:t xml:space="preserve">Incorporación</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Portada más expresiva del propósito de la plataforma</w:t>
            </w:r>
          </w:p>
        </w:tc>
        <w:tc>
          <w:tcPr>
            <w:tcW w:type="pct" w:w="50%"/>
            <w:tcMar>
              <w:top w:type="dxa" w:w="60"/>
              <w:left w:type="dxa" w:w="100"/>
              <w:bottom w:type="dxa" w:w="60"/>
              <w:right w:type="dxa" w:w="100"/>
            </w:tcMar>
          </w:tcPr>
          <w:p>
            <w:pPr>
              <w:spacing w:after="20" w:before="20"/>
            </w:pPr>
            <w:r>
              <w:rPr>
                <w:b w:val="false"/>
                <w:bCs w:val="false"/>
                <w:sz w:val="18"/>
                <w:szCs w:val="18"/>
              </w:rPr>
              <w:t xml:space="preserve">Bloque principal con proceso destacado, plazo y llamada a la acción</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Eliminar el registro previo de cuenta ciudadana</w:t>
            </w:r>
          </w:p>
        </w:tc>
        <w:tc>
          <w:tcPr>
            <w:tcW w:type="pct" w:w="50%"/>
            <w:tcMar>
              <w:top w:type="dxa" w:w="60"/>
              <w:left w:type="dxa" w:w="100"/>
              <w:bottom w:type="dxa" w:w="60"/>
              <w:right w:type="dxa" w:w="100"/>
            </w:tcMar>
          </w:tcPr>
          <w:p>
            <w:pPr>
              <w:spacing w:after="20" w:before="20"/>
            </w:pPr>
            <w:r>
              <w:rPr>
                <w:b w:val="false"/>
                <w:bCs w:val="false"/>
                <w:sz w:val="18"/>
                <w:szCs w:val="18"/>
              </w:rPr>
              <w:t xml:space="preserve">Participación e identidad resueltas en el mismo formulario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Distinguir persona jurídica y organización sin personalidad jurídica</w:t>
            </w:r>
          </w:p>
        </w:tc>
        <w:tc>
          <w:tcPr>
            <w:tcW w:type="pct" w:w="50%"/>
            <w:tcMar>
              <w:top w:type="dxa" w:w="60"/>
              <w:left w:type="dxa" w:w="100"/>
              <w:bottom w:type="dxa" w:w="60"/>
              <w:right w:type="dxa" w:w="100"/>
            </w:tcMar>
          </w:tcPr>
          <w:p>
            <w:pPr>
              <w:spacing w:after="20" w:before="20"/>
            </w:pPr>
            <w:r>
              <w:rPr>
                <w:b w:val="false"/>
                <w:bCs w:val="false"/>
                <w:sz w:val="18"/>
                <w:szCs w:val="18"/>
              </w:rPr>
              <w:t xml:space="preserve">Selección de tipo de participante con campos propios</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Retirar el acceso prominente al backoffice de la navegación pública</w:t>
            </w:r>
          </w:p>
        </w:tc>
        <w:tc>
          <w:tcPr>
            <w:tcW w:type="pct" w:w="50%"/>
            <w:tcMar>
              <w:top w:type="dxa" w:w="60"/>
              <w:left w:type="dxa" w:w="100"/>
              <w:bottom w:type="dxa" w:w="60"/>
              <w:right w:type="dxa" w:w="100"/>
            </w:tcMar>
          </w:tcPr>
          <w:p>
            <w:pPr>
              <w:spacing w:after="20" w:before="20"/>
            </w:pPr>
            <w:r>
              <w:rPr>
                <w:b w:val="false"/>
                <w:bCs w:val="false"/>
                <w:sz w:val="18"/>
                <w:szCs w:val="18"/>
              </w:rPr>
              <w:t xml:space="preserve">Acceso reubicado en el pie de página</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Denominación completa de los instrumentos, no solo la sigla</w:t>
            </w:r>
          </w:p>
        </w:tc>
        <w:tc>
          <w:tcPr>
            <w:tcW w:type="pct" w:w="50%"/>
            <w:tcMar>
              <w:top w:type="dxa" w:w="60"/>
              <w:left w:type="dxa" w:w="100"/>
              <w:bottom w:type="dxa" w:w="60"/>
              <w:right w:type="dxa" w:w="100"/>
            </w:tcMar>
          </w:tcPr>
          <w:p>
            <w:pPr>
              <w:spacing w:after="20" w:before="20"/>
            </w:pPr>
            <w:r>
              <w:rPr>
                <w:b w:val="false"/>
                <w:bCs w:val="false"/>
                <w:sz w:val="18"/>
                <w:szCs w:val="18"/>
              </w:rPr>
              <w:t xml:space="preserve">Nombre extendido en ficha y datos del proceso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Antecedentes antes del formulario en teléfono</w:t>
            </w:r>
          </w:p>
        </w:tc>
        <w:tc>
          <w:tcPr>
            <w:tcW w:type="pct" w:w="50%"/>
            <w:tcMar>
              <w:top w:type="dxa" w:w="60"/>
              <w:left w:type="dxa" w:w="100"/>
              <w:bottom w:type="dxa" w:w="60"/>
              <w:right w:type="dxa" w:w="100"/>
            </w:tcMar>
          </w:tcPr>
          <w:p>
            <w:pPr>
              <w:spacing w:after="20" w:before="20"/>
            </w:pPr>
            <w:r>
              <w:rPr>
                <w:b w:val="false"/>
                <w:bCs w:val="false"/>
                <w:sz w:val="18"/>
                <w:szCs w:val="18"/>
              </w:rPr>
              <w:t xml:space="preserve">Reordenamiento de bloques en pantallas angostas</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Fechas en español y leyenda del último día del plazo</w:t>
            </w:r>
          </w:p>
        </w:tc>
        <w:tc>
          <w:tcPr>
            <w:tcW w:type="pct" w:w="50%"/>
            <w:tcMar>
              <w:top w:type="dxa" w:w="60"/>
              <w:left w:type="dxa" w:w="100"/>
              <w:bottom w:type="dxa" w:w="60"/>
              <w:right w:type="dxa" w:w="100"/>
            </w:tcMar>
          </w:tcPr>
          <w:p>
            <w:pPr>
              <w:spacing w:after="20" w:before="20"/>
            </w:pPr>
            <w:r>
              <w:rPr>
                <w:b w:val="false"/>
                <w:bCs w:val="false"/>
                <w:sz w:val="18"/>
                <w:szCs w:val="18"/>
              </w:rPr>
              <w:t xml:space="preserve">Formato localizado y leyenda diferenciada</w:t>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0"/>
      </w:tabs>
    </w:pPr>
    <w:r>
      <w:rPr>
        <w:color w:val="767171"/>
        <w:sz w:val="16"/>
        <w:szCs w:val="16"/>
      </w:rPr>
      <w:t xml:space="preserve">Documento de Diseño UX/UI y Maquetas · GORE Valparaíso · AWNA</w:t>
    </w:r>
    <w:r>
      <w:rPr>
        <w:sz w:val="16"/>
        <w:szCs w:val="16"/>
      </w:rPr>
      <w:t xml:space="preserve">	</w:t>
    </w:r>
    <w:r>
      <w:rPr>
        <w:color w:val="767171"/>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767171"/>
        <w:sz w:val="16"/>
        <w:szCs w:val="16"/>
      </w:rPr>
      <w:t xml:space="preserve">Plataforma de Procesos Participativos Reglados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d369a1e6d78c14b919f39f01a0dd07b233a7a7.png"/><Relationship Id="rId10" Type="http://schemas.openxmlformats.org/officeDocument/2006/relationships/image" Target="media/79024e9e54394bfa0653b9d762a9d9297c818215.png"/><Relationship Id="rId11" Type="http://schemas.openxmlformats.org/officeDocument/2006/relationships/image" Target="media/34d50cc404315fc688773ac8f4926b94171f9196.png"/><Relationship Id="rId12" Type="http://schemas.openxmlformats.org/officeDocument/2006/relationships/image" Target="media/f31fecdf21f2c15ef33b5c6b6419355507033d61.png"/><Relationship Id="rId13" Type="http://schemas.openxmlformats.org/officeDocument/2006/relationships/image" Target="media/26c0e640001c9dbf512b2e677e6689095d163add.png"/><Relationship Id="rId14" Type="http://schemas.openxmlformats.org/officeDocument/2006/relationships/image" Target="media/e4c9bda91e570ad1147b2c0ce0692faee44bc843.png"/><Relationship Id="rId15" Type="http://schemas.openxmlformats.org/officeDocument/2006/relationships/image" Target="media/c6f1c7335bc9eb8e852c776009fe8e0c6bf8c055.png"/><Relationship Id="rId16" Type="http://schemas.openxmlformats.org/officeDocument/2006/relationships/image" Target="media/c5849a3bdcaf0f6b3438e2e9fbf4e011c62eb6f9.png"/><Relationship Id="rId17" Type="http://schemas.openxmlformats.org/officeDocument/2006/relationships/image" Target="media/c54b15b87441abfb56d24bf4f01ae736774a3ec4.png"/><Relationship Id="rId18" Type="http://schemas.openxmlformats.org/officeDocument/2006/relationships/image" Target="media/521514095de170feedd3a8c7ebe1f5b8d20645e3.png"/><Relationship Id="rId19" Type="http://schemas.openxmlformats.org/officeDocument/2006/relationships/image" Target="media/6662143f96cb9b027e6b5069e1d15d3b555bf53c.png"/><Relationship Id="rId20" Type="http://schemas.openxmlformats.org/officeDocument/2006/relationships/image" Target="media/2d425f02b579df1b202d3132c13068f92cc8b4dd.png"/><Relationship Id="rId21" Type="http://schemas.openxmlformats.org/officeDocument/2006/relationships/image" Target="media/46824a2607a397158ddb410583ae8257b31e81e3.png"/><Relationship Id="rId22" Type="http://schemas.openxmlformats.org/officeDocument/2006/relationships/image" Target="media/cb1b382c2da854cd0232aac059a40c7a06b4fd3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 UX/UI y Maquetas — GORE Valparaíso</dc:title>
  <dc:creator>AWNA</dc:creator>
  <dc:description>Documentación técnica de entrega</dc:description>
  <cp:lastModifiedBy>Un-named</cp:lastModifiedBy>
  <cp:revision>1</cp:revision>
  <dcterms:created xsi:type="dcterms:W3CDTF">2026-09-29T17:37:46.508Z</dcterms:created>
  <dcterms:modified xsi:type="dcterms:W3CDTF">2026-09-29T17:37:46.508Z</dcterms:modified>
</cp:coreProperties>
</file>

<file path=docProps/custom.xml><?xml version="1.0" encoding="utf-8"?>
<Properties xmlns="http://schemas.openxmlformats.org/officeDocument/2006/custom-properties" xmlns:vt="http://schemas.openxmlformats.org/officeDocument/2006/docPropsVTypes"/>
</file>