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767171"/>
          <w:sz w:val="26"/>
          <w:szCs w:val="26"/>
        </w:rPr>
        <w:t xml:space="preserve">GOBIERNO REGIONAL DE VALPARAÍSO</w:t>
      </w:r>
    </w:p>
    <w:p>
      <w:pPr>
        <w:spacing w:after="800"/>
        <w:jc w:val="center"/>
      </w:pPr>
      <w:r>
        <w:rPr>
          <w:rFonts w:ascii="Calibri" w:cs="Calibri" w:eastAsia="Calibri" w:hAnsi="Calibri"/>
          <w:b w:val="false"/>
          <w:bCs w:val="false"/>
          <w:color w:val="767171"/>
          <w:sz w:val="24"/>
          <w:szCs w:val="24"/>
        </w:rPr>
        <w:t xml:space="preserve">Plataforma de Procesos Participativos Reglados</w:t>
      </w:r>
    </w:p>
    <w:p>
      <w:pPr>
        <w:pBdr>
          <w:bottom w:val="single" w:color="1F3864" w:sz="12" w:space="8"/>
        </w:pBdr>
        <w:spacing w:after="200"/>
        <w:jc w:val="center"/>
      </w:pPr>
      <w:r>
        <w:rPr>
          <w:rFonts w:ascii="Calibri" w:cs="Calibri" w:eastAsia="Calibri" w:hAnsi="Calibri"/>
          <w:b/>
          <w:bCs/>
          <w:color w:val="1F3864"/>
          <w:sz w:val="44"/>
          <w:szCs w:val="44"/>
        </w:rPr>
        <w:t xml:space="preserve">Manual del Administrador</w:t>
      </w:r>
    </w:p>
    <w:p>
      <w:pPr>
        <w:spacing w:after="1600"/>
        <w:jc w:val="center"/>
      </w:pPr>
      <w:r>
        <w:rPr>
          <w:rFonts w:ascii="Calibri" w:cs="Calibri" w:eastAsia="Calibri" w:hAnsi="Calibri"/>
          <w:b w:val="false"/>
          <w:bCs w:val="false"/>
          <w:color w:val="767171"/>
          <w:sz w:val="24"/>
          <w:szCs w:val="24"/>
        </w:rPr>
        <w:t xml:space="preserve">Documentación Técnica de Entrega</w:t>
      </w:r>
    </w:p>
    <w:p>
      <w:pPr>
        <w:spacing w:after="100"/>
        <w:jc w:val="center"/>
      </w:pPr>
      <w:r>
        <w:rPr>
          <w:rFonts w:ascii="Calibri" w:cs="Calibri" w:eastAsia="Calibri" w:hAnsi="Calibri"/>
          <w:b/>
          <w:bCs/>
          <w:color w:val="000000"/>
          <w:sz w:val="24"/>
          <w:szCs w:val="24"/>
        </w:rPr>
        <w:t xml:space="preserve">Versión 1.0</w:t>
      </w:r>
    </w:p>
    <w:p>
      <w:pPr>
        <w:spacing w:after="100"/>
        <w:jc w:val="center"/>
      </w:pPr>
      <w:r>
        <w:rPr>
          <w:rFonts w:ascii="Calibri" w:cs="Calibri" w:eastAsia="Calibri" w:hAnsi="Calibri"/>
          <w:b w:val="false"/>
          <w:bCs w:val="false"/>
          <w:color w:val="767171"/>
          <w:sz w:val="22"/>
          <w:szCs w:val="22"/>
        </w:rPr>
        <w:t xml:space="preserve">5 de agosto de 2026</w:t>
      </w:r>
    </w:p>
    <w:p>
      <w:pPr>
        <w:spacing w:after="0"/>
        <w:jc w:val="center"/>
      </w:pPr>
      <w:r>
        <w:rPr>
          <w:rFonts w:ascii="Calibri" w:cs="Calibri" w:eastAsia="Calibri" w:hAnsi="Calibri"/>
          <w:b w:val="false"/>
          <w:bCs w:val="false"/>
          <w:color w:val="767171"/>
          <w:sz w:val="22"/>
          <w:szCs w:val="22"/>
        </w:rPr>
        <w:t xml:space="preserve">Elaborado por AWNA</w:t>
      </w:r>
    </w:p>
    <w:p/>
    <w:p>
      <w:pPr>
        <w:sectPr>
          <w:pgSz w:w="11906" w:h="16838" w:orient="portrait"/>
          <w:pgMar w:top="1440" w:right="1134" w:bottom="1440" w:left="1134" w:header="708" w:footer="708" w:gutter="0"/>
          <w:pgNumType/>
          <w:docGrid w:linePitch="360"/>
        </w:sectPr>
      </w:pPr>
    </w:p>
    <w:p>
      <w:pPr>
        <w:spacing w:after="140" w:line="276"/>
        <w:jc w:val="both"/>
      </w:pPr>
      <w:r>
        <w:rPr>
          <w:b/>
          <w:bCs/>
          <w:sz w:val="21"/>
          <w:szCs w:val="21"/>
        </w:rPr>
        <w:t xml:space="preserve">Plataforma de Procesos Participativos Reglados — GORE Valparaíso</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
            </w:r>
          </w:p>
        </w:tc>
        <w:tc>
          <w:tcPr>
            <w:tcW w:type="pct" w:w="50%"/>
            <w:shd w:fill="DCE6F1" w:val="clear"/>
            <w:tcMar>
              <w:top w:type="dxa" w:w="60"/>
              <w:left w:type="dxa" w:w="100"/>
              <w:bottom w:type="dxa" w:w="60"/>
              <w:right w:type="dxa" w:w="100"/>
            </w:tcMar>
          </w:tcPr>
          <w:p>
            <w:pPr>
              <w:spacing w:after="20" w:before="20"/>
            </w:pPr>
            <w:r>
              <w:rPr>
                <w:b/>
                <w:bCs/>
                <w:sz w:val="18"/>
                <w:szCs w:val="18"/>
              </w:rPr>
              <w:t xml:space="preserve"/>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Versión</w:t>
            </w:r>
          </w:p>
        </w:tc>
        <w:tc>
          <w:tcPr>
            <w:tcW w:type="pct" w:w="50%"/>
            <w:tcMar>
              <w:top w:type="dxa" w:w="60"/>
              <w:left w:type="dxa" w:w="100"/>
              <w:bottom w:type="dxa" w:w="60"/>
              <w:right w:type="dxa" w:w="100"/>
            </w:tcMar>
          </w:tcPr>
          <w:p>
            <w:pPr>
              <w:spacing w:after="20" w:before="20"/>
            </w:pPr>
            <w:r>
              <w:rPr>
                <w:b w:val="false"/>
                <w:bCs w:val="false"/>
                <w:sz w:val="18"/>
                <w:szCs w:val="18"/>
              </w:rPr>
              <w:t xml:space="preserve">1.0</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Fecha</w:t>
            </w:r>
          </w:p>
        </w:tc>
        <w:tc>
          <w:tcPr>
            <w:tcW w:type="pct" w:w="50%"/>
            <w:tcMar>
              <w:top w:type="dxa" w:w="60"/>
              <w:left w:type="dxa" w:w="100"/>
              <w:bottom w:type="dxa" w:w="60"/>
              <w:right w:type="dxa" w:w="100"/>
            </w:tcMar>
          </w:tcPr>
          <w:p>
            <w:pPr>
              <w:spacing w:after="20" w:before="20"/>
            </w:pPr>
            <w:r>
              <w:rPr>
                <w:b w:val="false"/>
                <w:bCs w:val="false"/>
                <w:sz w:val="18"/>
                <w:szCs w:val="18"/>
              </w:rPr>
              <w:t xml:space="preserve">5 de agosto de 2026</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Autor</w:t>
            </w:r>
          </w:p>
        </w:tc>
        <w:tc>
          <w:tcPr>
            <w:tcW w:type="pct" w:w="50%"/>
            <w:tcMar>
              <w:top w:type="dxa" w:w="60"/>
              <w:left w:type="dxa" w:w="100"/>
              <w:bottom w:type="dxa" w:w="60"/>
              <w:right w:type="dxa" w:w="100"/>
            </w:tcMar>
          </w:tcPr>
          <w:p>
            <w:pPr>
              <w:spacing w:after="20" w:before="20"/>
            </w:pPr>
            <w:r>
              <w:rPr>
                <w:b w:val="false"/>
                <w:bCs w:val="false"/>
                <w:sz w:val="18"/>
                <w:szCs w:val="18"/>
              </w:rPr>
              <w:t xml:space="preserve">AWNA</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Destinatario</w:t>
            </w:r>
          </w:p>
        </w:tc>
        <w:tc>
          <w:tcPr>
            <w:tcW w:type="pct" w:w="50%"/>
            <w:tcMar>
              <w:top w:type="dxa" w:w="60"/>
              <w:left w:type="dxa" w:w="100"/>
              <w:bottom w:type="dxa" w:w="60"/>
              <w:right w:type="dxa" w:w="100"/>
            </w:tcMar>
          </w:tcPr>
          <w:p>
            <w:pPr>
              <w:spacing w:after="20" w:before="20"/>
            </w:pPr>
            <w:r>
              <w:rPr>
                <w:b w:val="false"/>
                <w:bCs w:val="false"/>
                <w:sz w:val="18"/>
                <w:szCs w:val="18"/>
              </w:rPr>
              <w:t xml:space="preserve">Funcionarios y administradores del Gobierno Regional de Valparaíso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Documentos relacionados</w:t>
            </w:r>
          </w:p>
        </w:tc>
        <w:tc>
          <w:tcPr>
            <w:tcW w:type="pct" w:w="50%"/>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01-manual-despliegue-operacion.md</w:t>
            </w:r>
            <w:r>
              <w:rPr>
                <w:b w:val="false"/>
                <w:bCs w:val="false"/>
                <w:sz w:val="18"/>
                <w:szCs w:val="18"/>
              </w:rPr>
              <w:t xml:space="preserve">, </w:t>
            </w:r>
            <w:r>
              <w:rPr>
                <w:rFonts w:ascii="Consolas" w:cs="Consolas" w:eastAsia="Consolas" w:hAnsi="Consolas"/>
                <w:b w:val="false"/>
                <w:bCs w:val="false"/>
                <w:color w:val="A31515"/>
                <w:sz w:val="18"/>
                <w:szCs w:val="18"/>
              </w:rPr>
              <w:t xml:space="preserve">03-diccionario-datos-y-rutas.md</w:t>
            </w:r>
          </w:p>
        </w:tc>
      </w:tr>
    </w:tbl>
    <w:p>
      <w:pPr>
        <w:spacing w:after="160"/>
      </w:pP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Tabla de contenidos</w:t>
      </w:r>
    </w:p>
    <w:p>
      <w:pPr>
        <w:spacing w:after="60"/>
        <w:ind w:left="360" w:hanging="260"/>
      </w:pPr>
      <w:r>
        <w:rPr>
          <w:b/>
          <w:bCs/>
          <w:sz w:val="21"/>
          <w:szCs w:val="21"/>
        </w:rPr>
        <w:t xml:space="preserve">1.  </w:t>
      </w:r>
      <w:r>
        <w:rPr>
          <w:sz w:val="21"/>
          <w:szCs w:val="21"/>
        </w:rPr>
        <w:t xml:space="preserve">Qué hace la plataforma</w:t>
      </w:r>
    </w:p>
    <w:p>
      <w:pPr>
        <w:spacing w:after="60"/>
        <w:ind w:left="360" w:hanging="260"/>
      </w:pPr>
      <w:r>
        <w:rPr>
          <w:b/>
          <w:bCs/>
          <w:sz w:val="21"/>
          <w:szCs w:val="21"/>
        </w:rPr>
        <w:t xml:space="preserve">2.  </w:t>
      </w:r>
      <w:r>
        <w:rPr>
          <w:sz w:val="21"/>
          <w:szCs w:val="21"/>
        </w:rPr>
        <w:t xml:space="preserve">Acceso al backoffice</w:t>
      </w:r>
    </w:p>
    <w:p>
      <w:pPr>
        <w:spacing w:after="60"/>
        <w:ind w:left="360" w:hanging="260"/>
      </w:pPr>
      <w:r>
        <w:rPr>
          <w:b/>
          <w:bCs/>
          <w:sz w:val="21"/>
          <w:szCs w:val="21"/>
        </w:rPr>
        <w:t xml:space="preserve">3.  </w:t>
      </w:r>
      <w:r>
        <w:rPr>
          <w:sz w:val="21"/>
          <w:szCs w:val="21"/>
        </w:rPr>
        <w:t xml:space="preserve">Roles y permisos</w:t>
      </w:r>
    </w:p>
    <w:p>
      <w:pPr>
        <w:spacing w:after="60"/>
        <w:ind w:left="360" w:hanging="260"/>
      </w:pPr>
      <w:r>
        <w:rPr>
          <w:b/>
          <w:bCs/>
          <w:sz w:val="21"/>
          <w:szCs w:val="21"/>
        </w:rPr>
        <w:t xml:space="preserve">4.  </w:t>
      </w:r>
      <w:r>
        <w:rPr>
          <w:sz w:val="21"/>
          <w:szCs w:val="21"/>
        </w:rPr>
        <w:t xml:space="preserve">Gestión de consultas</w:t>
      </w:r>
    </w:p>
    <w:p>
      <w:pPr>
        <w:spacing w:after="60"/>
        <w:ind w:left="360" w:hanging="260"/>
      </w:pPr>
      <w:r>
        <w:rPr>
          <w:b/>
          <w:bCs/>
          <w:sz w:val="21"/>
          <w:szCs w:val="21"/>
        </w:rPr>
        <w:t xml:space="preserve">5.  </w:t>
      </w:r>
      <w:r>
        <w:rPr>
          <w:sz w:val="21"/>
          <w:szCs w:val="21"/>
        </w:rPr>
        <w:t xml:space="preserve">Antecedentes técnicos</w:t>
      </w:r>
    </w:p>
    <w:p>
      <w:pPr>
        <w:spacing w:after="60"/>
        <w:ind w:left="360" w:hanging="260"/>
      </w:pPr>
      <w:r>
        <w:rPr>
          <w:b/>
          <w:bCs/>
          <w:sz w:val="21"/>
          <w:szCs w:val="21"/>
        </w:rPr>
        <w:t xml:space="preserve">6.  </w:t>
      </w:r>
      <w:r>
        <w:rPr>
          <w:sz w:val="21"/>
          <w:szCs w:val="21"/>
        </w:rPr>
        <w:t xml:space="preserve">Observaciones ciudadanas</w:t>
      </w:r>
    </w:p>
    <w:p>
      <w:pPr>
        <w:spacing w:after="60"/>
        <w:ind w:left="360" w:hanging="260"/>
      </w:pPr>
      <w:r>
        <w:rPr>
          <w:b/>
          <w:bCs/>
          <w:sz w:val="21"/>
          <w:szCs w:val="21"/>
        </w:rPr>
        <w:t xml:space="preserve">7.  </w:t>
      </w:r>
      <w:r>
        <w:rPr>
          <w:sz w:val="21"/>
          <w:szCs w:val="21"/>
        </w:rPr>
        <w:t xml:space="preserve">Respuestas institucionales</w:t>
      </w:r>
    </w:p>
    <w:p>
      <w:pPr>
        <w:spacing w:after="60"/>
        <w:ind w:left="360" w:hanging="260"/>
      </w:pPr>
      <w:r>
        <w:rPr>
          <w:b/>
          <w:bCs/>
          <w:sz w:val="21"/>
          <w:szCs w:val="21"/>
        </w:rPr>
        <w:t xml:space="preserve">8.  </w:t>
      </w:r>
      <w:r>
        <w:rPr>
          <w:sz w:val="21"/>
          <w:szCs w:val="21"/>
        </w:rPr>
        <w:t xml:space="preserve">Exportación de datos</w:t>
      </w:r>
    </w:p>
    <w:p>
      <w:pPr>
        <w:spacing w:after="60"/>
        <w:ind w:left="360" w:hanging="260"/>
      </w:pPr>
      <w:r>
        <w:rPr>
          <w:b/>
          <w:bCs/>
          <w:sz w:val="21"/>
          <w:szCs w:val="21"/>
        </w:rPr>
        <w:t xml:space="preserve">9.  </w:t>
      </w:r>
      <w:r>
        <w:rPr>
          <w:sz w:val="21"/>
          <w:szCs w:val="21"/>
        </w:rPr>
        <w:t xml:space="preserve">Gestión de funcionarios</w:t>
      </w:r>
    </w:p>
    <w:p>
      <w:pPr>
        <w:spacing w:after="60"/>
        <w:ind w:left="360" w:hanging="260"/>
      </w:pPr>
      <w:r>
        <w:rPr>
          <w:b/>
          <w:bCs/>
          <w:sz w:val="21"/>
          <w:szCs w:val="21"/>
        </w:rPr>
        <w:t xml:space="preserve">10.  </w:t>
      </w:r>
      <w:r>
        <w:rPr>
          <w:sz w:val="21"/>
          <w:szCs w:val="21"/>
        </w:rPr>
        <w:t xml:space="preserve">Bitácora de auditoría</w:t>
      </w:r>
    </w:p>
    <w:p>
      <w:pPr>
        <w:spacing w:after="60"/>
        <w:ind w:left="360" w:hanging="260"/>
      </w:pPr>
      <w:r>
        <w:rPr>
          <w:b/>
          <w:bCs/>
          <w:sz w:val="21"/>
          <w:szCs w:val="21"/>
        </w:rPr>
        <w:t xml:space="preserve">11.  </w:t>
      </w:r>
      <w:r>
        <w:rPr>
          <w:sz w:val="21"/>
          <w:szCs w:val="21"/>
        </w:rPr>
        <w:t xml:space="preserve">Qué ve el ciudadano</w:t>
      </w:r>
    </w:p>
    <w:p>
      <w:pPr>
        <w:spacing w:after="60"/>
        <w:ind w:left="360" w:hanging="260"/>
      </w:pPr>
      <w:r>
        <w:rPr>
          <w:b/>
          <w:bCs/>
          <w:sz w:val="21"/>
          <w:szCs w:val="21"/>
        </w:rPr>
        <w:t xml:space="preserve">12.  </w:t>
      </w:r>
      <w:r>
        <w:rPr>
          <w:sz w:val="21"/>
          <w:szCs w:val="21"/>
        </w:rPr>
        <w:t xml:space="preserve">Preguntas frecuentes</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1. Qué hace la plataforma</w:t>
      </w:r>
    </w:p>
    <w:p>
      <w:pPr>
        <w:spacing w:after="140" w:line="276"/>
        <w:jc w:val="both"/>
      </w:pPr>
      <w:r>
        <w:rPr>
          <w:sz w:val="21"/>
          <w:szCs w:val="21"/>
        </w:rPr>
        <w:t xml:space="preserve">La plataforma permite al Gobierno Regional publicar procesos de consulta pública sobre instrumentos de ordenamiento territorial, recibir observaciones formales de la ciudadanía y responderlas institucionalmente, dejando registro trazable de todo el expediente.</w:t>
      </w:r>
    </w:p>
    <w:p>
      <w:pPr>
        <w:spacing w:after="140" w:line="276"/>
        <w:jc w:val="both"/>
      </w:pPr>
      <w:r>
        <w:rPr>
          <w:sz w:val="21"/>
          <w:szCs w:val="21"/>
        </w:rPr>
        <w:t xml:space="preserve">El sistema tiene dos caras:</w:t>
      </w:r>
    </w:p>
    <w:p>
      <w:pPr>
        <w:pStyle w:val="ListParagraph"/>
        <w:numPr>
          <w:ilvl w:val="0"/>
          <w:numId w:val="1"/>
        </w:numPr>
        <w:spacing w:after="60"/>
      </w:pPr>
      <w:r>
        <w:rPr>
          <w:b/>
          <w:bCs/>
          <w:sz w:val="21"/>
          <w:szCs w:val="21"/>
        </w:rPr>
        <w:t xml:space="preserve">Portal ciudadano</w:t>
      </w:r>
      <w:r>
        <w:rPr>
          <w:sz w:val="21"/>
          <w:szCs w:val="21"/>
        </w:rPr>
        <w:t xml:space="preserve"> (público, sin necesidad de cuenta para navegar):</w:t>
      </w:r>
    </w:p>
    <w:p>
      <w:pPr>
        <w:spacing w:after="140" w:line="276"/>
        <w:jc w:val="both"/>
      </w:pPr>
      <w:r>
        <w:rPr>
          <w:sz w:val="21"/>
          <w:szCs w:val="21"/>
        </w:rPr>
        <w:t xml:space="preserve">listado de procesos, ficha de cada proceso, descarga de antecedentes y formulario de observaciones.</w:t>
      </w:r>
    </w:p>
    <w:p>
      <w:pPr>
        <w:pStyle w:val="ListParagraph"/>
        <w:numPr>
          <w:ilvl w:val="0"/>
          <w:numId w:val="1"/>
        </w:numPr>
        <w:spacing w:after="60"/>
      </w:pPr>
      <w:r>
        <w:rPr>
          <w:b/>
          <w:bCs/>
          <w:sz w:val="21"/>
          <w:szCs w:val="21"/>
        </w:rPr>
        <w:t xml:space="preserve">Backoffice</w:t>
      </w:r>
      <w:r>
        <w:rPr>
          <w:sz w:val="21"/>
          <w:szCs w:val="21"/>
        </w:rPr>
        <w:t xml:space="preserve"> (</w:t>
      </w:r>
      <w:r>
        <w:rPr>
          <w:rFonts w:ascii="Consolas" w:cs="Consolas" w:eastAsia="Consolas" w:hAnsi="Consolas"/>
          <w:color w:val="A31515"/>
          <w:sz w:val="21"/>
          <w:szCs w:val="21"/>
        </w:rPr>
        <w:t xml:space="preserve">/admin</w:t>
      </w:r>
      <w:r>
        <w:rPr>
          <w:sz w:val="21"/>
          <w:szCs w:val="21"/>
        </w:rPr>
        <w:t xml:space="preserve">, requiere credenciales): gestión completa de</w:t>
      </w:r>
    </w:p>
    <w:p>
      <w:pPr>
        <w:spacing w:after="140" w:line="276"/>
        <w:jc w:val="both"/>
      </w:pPr>
      <w:r>
        <w:rPr>
          <w:sz w:val="21"/>
          <w:szCs w:val="21"/>
        </w:rPr>
        <w:t xml:space="preserve">procesos, documentos, observaciones, respuestas, usuarios y auditoría.</w:t>
      </w:r>
    </w:p>
    <w:p>
      <w:pPr>
        <w:spacing w:after="140" w:line="276"/>
        <w:jc w:val="both"/>
      </w:pPr>
      <w:r>
        <w:rPr>
          <w:sz w:val="21"/>
          <w:szCs w:val="21"/>
        </w:rPr>
        <w:t xml:space="preserve">Principio de diseño que conviene tener presente: </w:t>
      </w:r>
      <w:r>
        <w:rPr>
          <w:b/>
          <w:bCs/>
          <w:sz w:val="21"/>
          <w:szCs w:val="21"/>
        </w:rPr>
        <w:t xml:space="preserve">las observaciones ciudadanas son inalterables</w:t>
      </w:r>
      <w:r>
        <w:rPr>
          <w:sz w:val="21"/>
          <w:szCs w:val="21"/>
        </w:rPr>
        <w:t xml:space="preserve">. Nadie —ni un super-admin— puede editar el contenido de una observación recibida. Lo único reversible es archivarla, y esa acción queda registrada.</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2. Acceso al backoffice</w:t>
      </w:r>
    </w:p>
    <w:p>
      <w:pPr>
        <w:spacing w:after="140" w:line="276"/>
        <w:jc w:val="both"/>
      </w:pPr>
      <w:r>
        <w:rPr>
          <w:b/>
          <w:bCs/>
          <w:sz w:val="21"/>
          <w:szCs w:val="21"/>
        </w:rPr>
        <w:t xml:space="preserve">URL de ingreso:</w:t>
      </w:r>
      <w:r>
        <w:rPr>
          <w:sz w:val="21"/>
          <w:szCs w:val="21"/>
        </w:rPr>
        <w:t xml:space="preserve"> </w:t>
      </w:r>
      <w:r>
        <w:rPr>
          <w:rFonts w:ascii="Consolas" w:cs="Consolas" w:eastAsia="Consolas" w:hAnsi="Consolas"/>
          <w:color w:val="A31515"/>
          <w:sz w:val="21"/>
          <w:szCs w:val="21"/>
        </w:rPr>
        <w:t xml:space="preserve">https://www.participa.gobiernovalparaiso.cl/admin/login</w:t>
      </w:r>
    </w:p>
    <w:p>
      <w:pPr>
        <w:spacing w:after="140" w:line="276"/>
        <w:jc w:val="both"/>
      </w:pPr>
      <w:r>
        <w:rPr>
          <w:sz w:val="21"/>
          <w:szCs w:val="21"/>
        </w:rPr>
        <w:t xml:space="preserve">Al ingresar se llega al panel (</w:t>
      </w:r>
      <w:r>
        <w:rPr>
          <w:rFonts w:ascii="Consolas" w:cs="Consolas" w:eastAsia="Consolas" w:hAnsi="Consolas"/>
          <w:color w:val="A31515"/>
          <w:sz w:val="21"/>
          <w:szCs w:val="21"/>
        </w:rPr>
        <w:t xml:space="preserve">/admin/dashboard</w:t>
      </w:r>
      <w:r>
        <w:rPr>
          <w:sz w:val="21"/>
          <w:szCs w:val="21"/>
        </w:rPr>
        <w:t xml:space="preserve">). El menú lateral da acceso a Consultas, Observaciones, Funcionarios y Bitácora, según el rol.</w:t>
      </w:r>
    </w:p>
    <w:p>
      <w:pPr>
        <w:spacing w:after="140" w:line="276"/>
        <w:jc w:val="both"/>
      </w:pPr>
      <w:r>
        <w:rPr>
          <w:sz w:val="21"/>
          <w:szCs w:val="21"/>
        </w:rPr>
        <w:t xml:space="preserve">Recomendaciones de uso:</w:t>
      </w:r>
    </w:p>
    <w:p>
      <w:pPr>
        <w:pStyle w:val="ListParagraph"/>
        <w:numPr>
          <w:ilvl w:val="0"/>
          <w:numId w:val="1"/>
        </w:numPr>
        <w:spacing w:after="60"/>
      </w:pPr>
      <w:r>
        <w:rPr>
          <w:sz w:val="21"/>
          <w:szCs w:val="21"/>
        </w:rPr>
        <w:t xml:space="preserve">Cambiar la contraseña inicial en el primer ingreso, desde </w:t>
      </w:r>
      <w:r>
        <w:rPr>
          <w:b/>
          <w:bCs/>
          <w:sz w:val="21"/>
          <w:szCs w:val="21"/>
        </w:rPr>
        <w:t xml:space="preserve">Perfil</w:t>
      </w:r>
      <w:r>
        <w:rPr>
          <w:sz w:val="21"/>
          <w:szCs w:val="21"/>
        </w:rPr>
        <w:t xml:space="preserve">.</w:t>
      </w:r>
    </w:p>
    <w:p>
      <w:pPr>
        <w:pStyle w:val="ListParagraph"/>
        <w:numPr>
          <w:ilvl w:val="0"/>
          <w:numId w:val="1"/>
        </w:numPr>
        <w:spacing w:after="60"/>
      </w:pPr>
      <w:r>
        <w:rPr>
          <w:sz w:val="21"/>
          <w:szCs w:val="21"/>
        </w:rPr>
        <w:t xml:space="preserve">Cada funcionario debe tener su propia cuenta. Compartir credenciales rompe</w:t>
      </w:r>
    </w:p>
    <w:p>
      <w:pPr>
        <w:spacing w:after="140" w:line="276"/>
        <w:jc w:val="both"/>
      </w:pPr>
      <w:r>
        <w:rPr>
          <w:sz w:val="21"/>
          <w:szCs w:val="21"/>
        </w:rPr>
        <w:t xml:space="preserve">la trazabilidad: la bitácora atribuye cada acción a un usuario concreto.</w:t>
      </w:r>
    </w:p>
    <w:p>
      <w:pPr>
        <w:pStyle w:val="ListParagraph"/>
        <w:numPr>
          <w:ilvl w:val="0"/>
          <w:numId w:val="1"/>
        </w:numPr>
        <w:spacing w:after="60"/>
      </w:pPr>
      <w:r>
        <w:rPr>
          <w:sz w:val="21"/>
          <w:szCs w:val="21"/>
        </w:rPr>
        <w:t xml:space="preserve">Si un funcionario deja de participar del proceso, </w:t>
      </w:r>
      <w:r>
        <w:rPr>
          <w:b/>
          <w:bCs/>
          <w:sz w:val="21"/>
          <w:szCs w:val="21"/>
        </w:rPr>
        <w:t xml:space="preserve">desactivar</w:t>
      </w:r>
      <w:r>
        <w:rPr>
          <w:sz w:val="21"/>
          <w:szCs w:val="21"/>
        </w:rPr>
        <w:t xml:space="preserve"> su cuenta</w:t>
      </w:r>
    </w:p>
    <w:p>
      <w:pPr>
        <w:spacing w:after="140" w:line="276"/>
        <w:jc w:val="both"/>
      </w:pPr>
      <w:r>
        <w:rPr>
          <w:sz w:val="21"/>
          <w:szCs w:val="21"/>
        </w:rPr>
        <w:t xml:space="preserve">en lugar de eliminarla, para conservar el historial.</w:t>
      </w:r>
    </w:p>
    <w:p>
      <w:pPr>
        <w:spacing w:after="140" w:line="276"/>
        <w:jc w:val="both"/>
      </w:pPr>
      <w:r>
        <w:rPr>
          <w:sz w:val="21"/>
          <w:szCs w:val="21"/>
        </w:rPr>
        <w:t xml:space="preserve">Si se olvida la contraseña, existe recuperación por correo (</w:t>
      </w:r>
      <w:r>
        <w:rPr>
          <w:rFonts w:ascii="Consolas" w:cs="Consolas" w:eastAsia="Consolas" w:hAnsi="Consolas"/>
          <w:color w:val="A31515"/>
          <w:sz w:val="21"/>
          <w:szCs w:val="21"/>
        </w:rPr>
        <w:t xml:space="preserve">/admin/forgot-password</w:t>
      </w:r>
      <w:r>
        <w:rPr>
          <w:sz w:val="21"/>
          <w:szCs w:val="21"/>
        </w:rPr>
        <w:t xml:space="preserve">). Requiere que el envío de correo esté habilitado; mientras SES no esté activo, un super-admin puede asignar una contraseña nueva desde </w:t>
      </w:r>
      <w:r>
        <w:rPr>
          <w:b/>
          <w:bCs/>
          <w:sz w:val="21"/>
          <w:szCs w:val="21"/>
        </w:rPr>
        <w:t xml:space="preserve">Funcionarios → Editar</w:t>
      </w:r>
      <w:r>
        <w:rPr>
          <w:sz w:val="21"/>
          <w:szCs w:val="21"/>
        </w:rPr>
        <w:t xml:space="preserve">.</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3. Roles y permisos</w:t>
      </w:r>
    </w:p>
    <w:p>
      <w:pPr>
        <w:spacing w:after="140" w:line="276"/>
        <w:jc w:val="both"/>
      </w:pPr>
      <w:r>
        <w:rPr>
          <w:sz w:val="21"/>
          <w:szCs w:val="21"/>
        </w:rPr>
        <w:t xml:space="preserve">Hay tres roles. Los dos primeros acceden al backoffice; el tercero es el ciudadano y nunca entra a </w:t>
      </w:r>
      <w:r>
        <w:rPr>
          <w:rFonts w:ascii="Consolas" w:cs="Consolas" w:eastAsia="Consolas" w:hAnsi="Consolas"/>
          <w:color w:val="A31515"/>
          <w:sz w:val="21"/>
          <w:szCs w:val="21"/>
        </w:rPr>
        <w:t xml:space="preserve">/admin</w:t>
      </w:r>
      <w:r>
        <w:rPr>
          <w:sz w:val="21"/>
          <w:szCs w:val="21"/>
        </w:rPr>
        <w:t xml:space="preserve">.</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Acción</w:t>
            </w:r>
          </w:p>
        </w:tc>
        <w:tc>
          <w:tcPr>
            <w:tcW w:type="pct" w:w="33%"/>
            <w:shd w:fill="DCE6F1" w:val="clear"/>
            <w:tcMar>
              <w:top w:type="dxa" w:w="60"/>
              <w:left w:type="dxa" w:w="100"/>
              <w:bottom w:type="dxa" w:w="60"/>
              <w:right w:type="dxa" w:w="100"/>
            </w:tcMar>
          </w:tcPr>
          <w:p>
            <w:pPr>
              <w:spacing w:after="20" w:before="20"/>
            </w:pPr>
            <w:r>
              <w:rPr>
                <w:b/>
                <w:bCs/>
                <w:sz w:val="18"/>
                <w:szCs w:val="18"/>
              </w:rPr>
              <w:t xml:space="preserve">Funcionario</w:t>
            </w:r>
          </w:p>
        </w:tc>
        <w:tc>
          <w:tcPr>
            <w:tcW w:type="pct" w:w="33%"/>
            <w:shd w:fill="DCE6F1" w:val="clear"/>
            <w:tcMar>
              <w:top w:type="dxa" w:w="60"/>
              <w:left w:type="dxa" w:w="100"/>
              <w:bottom w:type="dxa" w:w="60"/>
              <w:right w:type="dxa" w:w="100"/>
            </w:tcMar>
          </w:tcPr>
          <w:p>
            <w:pPr>
              <w:spacing w:after="20" w:before="20"/>
            </w:pPr>
            <w:r>
              <w:rPr>
                <w:b/>
                <w:bCs/>
                <w:sz w:val="18"/>
                <w:szCs w:val="18"/>
              </w:rPr>
              <w:t xml:space="preserve">Super-admin</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Ver el panel</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Crear, editar y publicar consultas</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Archivar y restaurar consultas</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Subir, reemplazar y archivar antecedentes</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Ver observaciones y sus adjuntos</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Exportar observaciones (XLSX / CSV)</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Descargar los adjuntos en ZIP</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Redactar, publicar y responder en lote</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Archivar y restaurar observaciones</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Crear y editar funcionarios</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Ver la bitácora de auditoría</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w:t>
            </w:r>
          </w:p>
        </w:tc>
      </w:tr>
    </w:tbl>
    <w:p>
      <w:pPr>
        <w:spacing w:after="160"/>
      </w:pPr>
    </w:p>
    <w:p>
      <w:pPr>
        <w:spacing w:after="140" w:line="276"/>
        <w:jc w:val="both"/>
      </w:pPr>
      <w:r>
        <w:rPr>
          <w:sz w:val="21"/>
          <w:szCs w:val="21"/>
        </w:rPr>
        <w:t xml:space="preserve">Las tres acciones restringidas al super-admin son las que tocan la integridad del expediente o el control de acceso. Un funcionario que intente acceder a ellas recibe un error 403.</w:t>
      </w:r>
    </w:p>
    <w:p>
      <w:pPr>
        <w:spacing w:after="140" w:line="276"/>
        <w:jc w:val="both"/>
      </w:pPr>
      <w:r>
        <w:rPr>
          <w:b/>
          <w:bCs/>
          <w:sz w:val="21"/>
          <w:szCs w:val="21"/>
        </w:rPr>
        <w:t xml:space="preserve">Los ciudadanos no se administran desde el backoffice.</w:t>
      </w:r>
      <w:r>
        <w:rPr>
          <w:sz w:val="21"/>
          <w:szCs w:val="21"/>
        </w:rPr>
        <w:t xml:space="preserve"> Se identifican por ClaveÚnica o participan sin registro; no existe una pantalla para crearlos o editarlos, por diseño.</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4. Gestión de consultas</w:t>
      </w:r>
    </w:p>
    <w:p>
      <w:pPr>
        <w:spacing w:after="140" w:line="276"/>
        <w:jc w:val="both"/>
      </w:pPr>
      <w:r>
        <w:rPr>
          <w:sz w:val="21"/>
          <w:szCs w:val="21"/>
        </w:rPr>
        <w:t xml:space="preserve">Una </w:t>
      </w:r>
      <w:r>
        <w:rPr>
          <w:b/>
          <w:bCs/>
          <w:sz w:val="21"/>
          <w:szCs w:val="21"/>
        </w:rPr>
        <w:t xml:space="preserve">consulta</w:t>
      </w:r>
      <w:r>
        <w:rPr>
          <w:sz w:val="21"/>
          <w:szCs w:val="21"/>
        </w:rPr>
        <w:t xml:space="preserve"> (o proceso participativo) es la unidad central del sistema: agrupa los antecedentes técnicos, define la ventana de participación y recibe las observaciones.</w:t>
      </w:r>
    </w:p>
    <w:p>
      <w:pPr>
        <w:pStyle w:val="Heading2"/>
        <w:spacing w:after="120" w:before="240"/>
      </w:pPr>
      <w:r>
        <w:rPr>
          <w:rFonts w:ascii="Calibri" w:cs="Calibri" w:eastAsia="Calibri" w:hAnsi="Calibri"/>
          <w:b/>
          <w:bCs/>
          <w:color w:val="1F3864"/>
          <w:sz w:val="25"/>
          <w:szCs w:val="25"/>
        </w:rPr>
        <w:t xml:space="preserve">4.1 Crear una consulta</w:t>
      </w:r>
    </w:p>
    <w:p>
      <w:pPr>
        <w:spacing w:after="140" w:line="276"/>
        <w:jc w:val="both"/>
      </w:pPr>
      <w:r>
        <w:rPr>
          <w:b/>
          <w:bCs/>
          <w:sz w:val="21"/>
          <w:szCs w:val="21"/>
        </w:rPr>
        <w:t xml:space="preserve">Consultas → Nueva consulta.</w:t>
      </w:r>
      <w:r>
        <w:rPr>
          <w:sz w:val="21"/>
          <w:szCs w:val="21"/>
        </w:rPr>
        <w:t xml:space="preserve"> Campos del formulario:</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Campo</w:t>
            </w:r>
          </w:p>
        </w:tc>
        <w:tc>
          <w:tcPr>
            <w:tcW w:type="pct" w:w="33%"/>
            <w:shd w:fill="DCE6F1" w:val="clear"/>
            <w:tcMar>
              <w:top w:type="dxa" w:w="60"/>
              <w:left w:type="dxa" w:w="100"/>
              <w:bottom w:type="dxa" w:w="60"/>
              <w:right w:type="dxa" w:w="100"/>
            </w:tcMar>
          </w:tcPr>
          <w:p>
            <w:pPr>
              <w:spacing w:after="20" w:before="20"/>
            </w:pPr>
            <w:r>
              <w:rPr>
                <w:b/>
                <w:bCs/>
                <w:sz w:val="18"/>
                <w:szCs w:val="18"/>
              </w:rPr>
              <w:t xml:space="preserve">Obligatorio</w:t>
            </w:r>
          </w:p>
        </w:tc>
        <w:tc>
          <w:tcPr>
            <w:tcW w:type="pct" w:w="33%"/>
            <w:shd w:fill="DCE6F1" w:val="clear"/>
            <w:tcMar>
              <w:top w:type="dxa" w:w="60"/>
              <w:left w:type="dxa" w:w="100"/>
              <w:bottom w:type="dxa" w:w="60"/>
              <w:right w:type="dxa" w:w="100"/>
            </w:tcMar>
          </w:tcPr>
          <w:p>
            <w:pPr>
              <w:spacing w:after="20" w:before="20"/>
            </w:pPr>
            <w:r>
              <w:rPr>
                <w:b/>
                <w:bCs/>
                <w:sz w:val="18"/>
                <w:szCs w:val="18"/>
              </w:rPr>
              <w:t xml:space="preserve">Descripción</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Título</w:t>
            </w:r>
          </w:p>
        </w:tc>
        <w:tc>
          <w:tcPr>
            <w:tcW w:type="pct" w:w="33%"/>
            <w:tcMar>
              <w:top w:type="dxa" w:w="60"/>
              <w:left w:type="dxa" w:w="100"/>
              <w:bottom w:type="dxa" w:w="60"/>
              <w:right w:type="dxa" w:w="100"/>
            </w:tcMar>
          </w:tcPr>
          <w:p>
            <w:pPr>
              <w:spacing w:after="20" w:before="20"/>
            </w:pPr>
            <w:r>
              <w:rPr>
                <w:b w:val="false"/>
                <w:bCs w:val="false"/>
                <w:sz w:val="18"/>
                <w:szCs w:val="18"/>
              </w:rPr>
              <w:t xml:space="preserve">Sí</w:t>
            </w:r>
          </w:p>
        </w:tc>
        <w:tc>
          <w:tcPr>
            <w:tcW w:type="pct" w:w="33%"/>
            <w:tcMar>
              <w:top w:type="dxa" w:w="60"/>
              <w:left w:type="dxa" w:w="100"/>
              <w:bottom w:type="dxa" w:w="60"/>
              <w:right w:type="dxa" w:w="100"/>
            </w:tcMar>
          </w:tcPr>
          <w:p>
            <w:pPr>
              <w:spacing w:after="20" w:before="20"/>
            </w:pPr>
            <w:r>
              <w:rPr>
                <w:b w:val="false"/>
                <w:bCs w:val="false"/>
                <w:sz w:val="18"/>
                <w:szCs w:val="18"/>
              </w:rPr>
              <w:t xml:space="preserve">Nombre del proceso, tal como lo verá la ciudadanía (máx. 255 caracteres)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Slug</w:t>
            </w:r>
          </w:p>
        </w:tc>
        <w:tc>
          <w:tcPr>
            <w:tcW w:type="pct" w:w="33%"/>
            <w:tcMar>
              <w:top w:type="dxa" w:w="60"/>
              <w:left w:type="dxa" w:w="100"/>
              <w:bottom w:type="dxa" w:w="60"/>
              <w:right w:type="dxa" w:w="100"/>
            </w:tcMar>
          </w:tcPr>
          <w:p>
            <w:pPr>
              <w:spacing w:after="20" w:before="20"/>
            </w:pPr>
            <w:r>
              <w:rPr>
                <w:b w:val="false"/>
                <w:bCs w:val="false"/>
                <w:sz w:val="18"/>
                <w:szCs w:val="18"/>
              </w:rPr>
              <w:t xml:space="preserve">No</w:t>
            </w:r>
          </w:p>
        </w:tc>
        <w:tc>
          <w:tcPr>
            <w:tcW w:type="pct" w:w="33%"/>
            <w:tcMar>
              <w:top w:type="dxa" w:w="60"/>
              <w:left w:type="dxa" w:w="100"/>
              <w:bottom w:type="dxa" w:w="60"/>
              <w:right w:type="dxa" w:w="100"/>
            </w:tcMar>
          </w:tcPr>
          <w:p>
            <w:pPr>
              <w:spacing w:after="20" w:before="20"/>
            </w:pPr>
            <w:r>
              <w:rPr>
                <w:b w:val="false"/>
                <w:bCs w:val="false"/>
                <w:sz w:val="18"/>
                <w:szCs w:val="18"/>
              </w:rPr>
              <w:t xml:space="preserve">Identificador en la URL pública. Si se deja vacío se genera desde el título con un sufijo aleatorio para garantizar unicidad. Solo letras, números, guiones y guion bajo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Resumen</w:t>
            </w:r>
          </w:p>
        </w:tc>
        <w:tc>
          <w:tcPr>
            <w:tcW w:type="pct" w:w="33%"/>
            <w:tcMar>
              <w:top w:type="dxa" w:w="60"/>
              <w:left w:type="dxa" w:w="100"/>
              <w:bottom w:type="dxa" w:w="60"/>
              <w:right w:type="dxa" w:w="100"/>
            </w:tcMar>
          </w:tcPr>
          <w:p>
            <w:pPr>
              <w:spacing w:after="20" w:before="20"/>
            </w:pPr>
            <w:r>
              <w:rPr>
                <w:b w:val="false"/>
                <w:bCs w:val="false"/>
                <w:sz w:val="18"/>
                <w:szCs w:val="18"/>
              </w:rPr>
              <w:t xml:space="preserve">No</w:t>
            </w:r>
          </w:p>
        </w:tc>
        <w:tc>
          <w:tcPr>
            <w:tcW w:type="pct" w:w="33%"/>
            <w:tcMar>
              <w:top w:type="dxa" w:w="60"/>
              <w:left w:type="dxa" w:w="100"/>
              <w:bottom w:type="dxa" w:w="60"/>
              <w:right w:type="dxa" w:w="100"/>
            </w:tcMar>
          </w:tcPr>
          <w:p>
            <w:pPr>
              <w:spacing w:after="20" w:before="20"/>
            </w:pPr>
            <w:r>
              <w:rPr>
                <w:b w:val="false"/>
                <w:bCs w:val="false"/>
                <w:sz w:val="18"/>
                <w:szCs w:val="18"/>
              </w:rPr>
              <w:t xml:space="preserve">Bajada breve que aparece en las tarjetas del listado (máx. 1.000 caracteres)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Descripción</w:t>
            </w:r>
          </w:p>
        </w:tc>
        <w:tc>
          <w:tcPr>
            <w:tcW w:type="pct" w:w="33%"/>
            <w:tcMar>
              <w:top w:type="dxa" w:w="60"/>
              <w:left w:type="dxa" w:w="100"/>
              <w:bottom w:type="dxa" w:w="60"/>
              <w:right w:type="dxa" w:w="100"/>
            </w:tcMar>
          </w:tcPr>
          <w:p>
            <w:pPr>
              <w:spacing w:after="20" w:before="20"/>
            </w:pPr>
            <w:r>
              <w:rPr>
                <w:b w:val="false"/>
                <w:bCs w:val="false"/>
                <w:sz w:val="18"/>
                <w:szCs w:val="18"/>
              </w:rPr>
              <w:t xml:space="preserve">No</w:t>
            </w:r>
          </w:p>
        </w:tc>
        <w:tc>
          <w:tcPr>
            <w:tcW w:type="pct" w:w="33%"/>
            <w:tcMar>
              <w:top w:type="dxa" w:w="60"/>
              <w:left w:type="dxa" w:w="100"/>
              <w:bottom w:type="dxa" w:w="60"/>
              <w:right w:type="dxa" w:w="100"/>
            </w:tcMar>
          </w:tcPr>
          <w:p>
            <w:pPr>
              <w:spacing w:after="20" w:before="20"/>
            </w:pPr>
            <w:r>
              <w:rPr>
                <w:b w:val="false"/>
                <w:bCs w:val="false"/>
                <w:sz w:val="18"/>
                <w:szCs w:val="18"/>
              </w:rPr>
              <w:t xml:space="preserve">Texto completo de la ficha del proceso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Tipo de instrumento</w:t>
            </w:r>
          </w:p>
        </w:tc>
        <w:tc>
          <w:tcPr>
            <w:tcW w:type="pct" w:w="33%"/>
            <w:tcMar>
              <w:top w:type="dxa" w:w="60"/>
              <w:left w:type="dxa" w:w="100"/>
              <w:bottom w:type="dxa" w:w="60"/>
              <w:right w:type="dxa" w:w="100"/>
            </w:tcMar>
          </w:tcPr>
          <w:p>
            <w:pPr>
              <w:spacing w:after="20" w:before="20"/>
            </w:pPr>
            <w:r>
              <w:rPr>
                <w:b w:val="false"/>
                <w:bCs w:val="false"/>
                <w:sz w:val="18"/>
                <w:szCs w:val="18"/>
              </w:rPr>
              <w:t xml:space="preserve">Sí</w:t>
            </w:r>
          </w:p>
        </w:tc>
        <w:tc>
          <w:tcPr>
            <w:tcW w:type="pct" w:w="33%"/>
            <w:tcMar>
              <w:top w:type="dxa" w:w="60"/>
              <w:left w:type="dxa" w:w="100"/>
              <w:bottom w:type="dxa" w:w="60"/>
              <w:right w:type="dxa" w:w="100"/>
            </w:tcMar>
          </w:tcPr>
          <w:p>
            <w:pPr>
              <w:spacing w:after="20" w:before="20"/>
            </w:pPr>
            <w:r>
              <w:rPr>
                <w:b w:val="false"/>
                <w:bCs w:val="false"/>
                <w:sz w:val="18"/>
                <w:szCs w:val="18"/>
              </w:rPr>
              <w:t xml:space="preserve">IPT, PROT, ZUBC u Otro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Estado</w:t>
            </w:r>
          </w:p>
        </w:tc>
        <w:tc>
          <w:tcPr>
            <w:tcW w:type="pct" w:w="33%"/>
            <w:tcMar>
              <w:top w:type="dxa" w:w="60"/>
              <w:left w:type="dxa" w:w="100"/>
              <w:bottom w:type="dxa" w:w="60"/>
              <w:right w:type="dxa" w:w="100"/>
            </w:tcMar>
          </w:tcPr>
          <w:p>
            <w:pPr>
              <w:spacing w:after="20" w:before="20"/>
            </w:pPr>
            <w:r>
              <w:rPr>
                <w:b w:val="false"/>
                <w:bCs w:val="false"/>
                <w:sz w:val="18"/>
                <w:szCs w:val="18"/>
              </w:rPr>
              <w:t xml:space="preserve">Sí</w:t>
            </w:r>
          </w:p>
        </w:tc>
        <w:tc>
          <w:tcPr>
            <w:tcW w:type="pct" w:w="33%"/>
            <w:tcMar>
              <w:top w:type="dxa" w:w="60"/>
              <w:left w:type="dxa" w:w="100"/>
              <w:bottom w:type="dxa" w:w="60"/>
              <w:right w:type="dxa" w:w="100"/>
            </w:tcMar>
          </w:tcPr>
          <w:p>
            <w:pPr>
              <w:spacing w:after="20" w:before="20"/>
            </w:pPr>
            <w:r>
              <w:rPr>
                <w:b w:val="false"/>
                <w:bCs w:val="false"/>
                <w:sz w:val="18"/>
                <w:szCs w:val="18"/>
              </w:rPr>
              <w:t xml:space="preserve">Ver §4.2</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Fecha de inicio</w:t>
            </w:r>
          </w:p>
        </w:tc>
        <w:tc>
          <w:tcPr>
            <w:tcW w:type="pct" w:w="33%"/>
            <w:tcMar>
              <w:top w:type="dxa" w:w="60"/>
              <w:left w:type="dxa" w:w="100"/>
              <w:bottom w:type="dxa" w:w="60"/>
              <w:right w:type="dxa" w:w="100"/>
            </w:tcMar>
          </w:tcPr>
          <w:p>
            <w:pPr>
              <w:spacing w:after="20" w:before="20"/>
            </w:pPr>
            <w:r>
              <w:rPr>
                <w:b w:val="false"/>
                <w:bCs w:val="false"/>
                <w:sz w:val="18"/>
                <w:szCs w:val="18"/>
              </w:rPr>
              <w:t xml:space="preserve">No</w:t>
            </w:r>
          </w:p>
        </w:tc>
        <w:tc>
          <w:tcPr>
            <w:tcW w:type="pct" w:w="33%"/>
            <w:tcMar>
              <w:top w:type="dxa" w:w="60"/>
              <w:left w:type="dxa" w:w="100"/>
              <w:bottom w:type="dxa" w:w="60"/>
              <w:right w:type="dxa" w:w="100"/>
            </w:tcMar>
          </w:tcPr>
          <w:p>
            <w:pPr>
              <w:spacing w:after="20" w:before="20"/>
            </w:pPr>
            <w:r>
              <w:rPr>
                <w:b w:val="false"/>
                <w:bCs w:val="false"/>
                <w:sz w:val="18"/>
                <w:szCs w:val="18"/>
              </w:rPr>
              <w:t xml:space="preserve">Comienzo de la ventana de participación</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Fecha de término</w:t>
            </w:r>
          </w:p>
        </w:tc>
        <w:tc>
          <w:tcPr>
            <w:tcW w:type="pct" w:w="33%"/>
            <w:tcMar>
              <w:top w:type="dxa" w:w="60"/>
              <w:left w:type="dxa" w:w="100"/>
              <w:bottom w:type="dxa" w:w="60"/>
              <w:right w:type="dxa" w:w="100"/>
            </w:tcMar>
          </w:tcPr>
          <w:p>
            <w:pPr>
              <w:spacing w:after="20" w:before="20"/>
            </w:pPr>
            <w:r>
              <w:rPr>
                <w:b w:val="false"/>
                <w:bCs w:val="false"/>
                <w:sz w:val="18"/>
                <w:szCs w:val="18"/>
              </w:rPr>
              <w:t xml:space="preserve">No</w:t>
            </w:r>
          </w:p>
        </w:tc>
        <w:tc>
          <w:tcPr>
            <w:tcW w:type="pct" w:w="33%"/>
            <w:tcMar>
              <w:top w:type="dxa" w:w="60"/>
              <w:left w:type="dxa" w:w="100"/>
              <w:bottom w:type="dxa" w:w="60"/>
              <w:right w:type="dxa" w:w="100"/>
            </w:tcMar>
          </w:tcPr>
          <w:p>
            <w:pPr>
              <w:spacing w:after="20" w:before="20"/>
            </w:pPr>
            <w:r>
              <w:rPr>
                <w:b w:val="false"/>
                <w:bCs w:val="false"/>
                <w:sz w:val="18"/>
                <w:szCs w:val="18"/>
              </w:rPr>
              <w:t xml:space="preserve">Cierre de la ventana. Debe ser igual o posterior a la de inicio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Métodos de participación</w:t>
            </w:r>
          </w:p>
        </w:tc>
        <w:tc>
          <w:tcPr>
            <w:tcW w:type="pct" w:w="33%"/>
            <w:tcMar>
              <w:top w:type="dxa" w:w="60"/>
              <w:left w:type="dxa" w:w="100"/>
              <w:bottom w:type="dxa" w:w="60"/>
              <w:right w:type="dxa" w:w="100"/>
            </w:tcMar>
          </w:tcPr>
          <w:p>
            <w:pPr>
              <w:spacing w:after="20" w:before="20"/>
            </w:pPr>
            <w:r>
              <w:rPr>
                <w:b w:val="false"/>
                <w:bCs w:val="false"/>
                <w:sz w:val="18"/>
                <w:szCs w:val="18"/>
              </w:rPr>
              <w:t xml:space="preserve">Sí (al menos uno)</w:t>
            </w:r>
          </w:p>
        </w:tc>
        <w:tc>
          <w:tcPr>
            <w:tcW w:type="pct" w:w="33%"/>
            <w:tcMar>
              <w:top w:type="dxa" w:w="60"/>
              <w:left w:type="dxa" w:w="100"/>
              <w:bottom w:type="dxa" w:w="60"/>
              <w:right w:type="dxa" w:w="100"/>
            </w:tcMar>
          </w:tcPr>
          <w:p>
            <w:pPr>
              <w:spacing w:after="20" w:before="20"/>
            </w:pPr>
            <w:r>
              <w:rPr>
                <w:b w:val="false"/>
                <w:bCs w:val="false"/>
                <w:sz w:val="18"/>
                <w:szCs w:val="18"/>
              </w:rPr>
              <w:t xml:space="preserve">ClaveÚnica y/o Sin registro. Ver §4.3</w:t>
            </w:r>
          </w:p>
        </w:tc>
      </w:tr>
    </w:tbl>
    <w:p>
      <w:pPr>
        <w:spacing w:after="160"/>
      </w:pPr>
    </w:p>
    <w:p>
      <w:pPr>
        <w:spacing w:after="140" w:line="276"/>
        <w:jc w:val="both"/>
      </w:pPr>
      <w:r>
        <w:rPr>
          <w:sz w:val="21"/>
          <w:szCs w:val="21"/>
        </w:rPr>
        <w:t xml:space="preserve">Los cuatro tipos de instrumento se muestran al ciudadano con su nombre completo, no con la sigla: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Sigla</w:t>
            </w:r>
          </w:p>
        </w:tc>
        <w:tc>
          <w:tcPr>
            <w:tcW w:type="pct" w:w="50%"/>
            <w:shd w:fill="DCE6F1" w:val="clear"/>
            <w:tcMar>
              <w:top w:type="dxa" w:w="60"/>
              <w:left w:type="dxa" w:w="100"/>
              <w:bottom w:type="dxa" w:w="60"/>
              <w:right w:type="dxa" w:w="100"/>
            </w:tcMar>
          </w:tcPr>
          <w:p>
            <w:pPr>
              <w:spacing w:after="20" w:before="20"/>
            </w:pPr>
            <w:r>
              <w:rPr>
                <w:b/>
                <w:bCs/>
                <w:sz w:val="18"/>
                <w:szCs w:val="18"/>
              </w:rPr>
              <w:t xml:space="preserve">Nombre mostrado al ciudadano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IPT</w:t>
            </w:r>
          </w:p>
        </w:tc>
        <w:tc>
          <w:tcPr>
            <w:tcW w:type="pct" w:w="50%"/>
            <w:tcMar>
              <w:top w:type="dxa" w:w="60"/>
              <w:left w:type="dxa" w:w="100"/>
              <w:bottom w:type="dxa" w:w="60"/>
              <w:right w:type="dxa" w:w="100"/>
            </w:tcMar>
          </w:tcPr>
          <w:p>
            <w:pPr>
              <w:spacing w:after="20" w:before="20"/>
            </w:pPr>
            <w:r>
              <w:rPr>
                <w:b w:val="false"/>
                <w:bCs w:val="false"/>
                <w:sz w:val="18"/>
                <w:szCs w:val="18"/>
              </w:rPr>
              <w:t xml:space="preserve">Instrumento de Planificación Territorial</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PROT</w:t>
            </w:r>
          </w:p>
        </w:tc>
        <w:tc>
          <w:tcPr>
            <w:tcW w:type="pct" w:w="50%"/>
            <w:tcMar>
              <w:top w:type="dxa" w:w="60"/>
              <w:left w:type="dxa" w:w="100"/>
              <w:bottom w:type="dxa" w:w="60"/>
              <w:right w:type="dxa" w:w="100"/>
            </w:tcMar>
          </w:tcPr>
          <w:p>
            <w:pPr>
              <w:spacing w:after="20" w:before="20"/>
            </w:pPr>
            <w:r>
              <w:rPr>
                <w:b w:val="false"/>
                <w:bCs w:val="false"/>
                <w:sz w:val="18"/>
                <w:szCs w:val="18"/>
              </w:rPr>
              <w:t xml:space="preserve">Plan Regional de Ordenamiento Territorial</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ZUBC</w:t>
            </w:r>
          </w:p>
        </w:tc>
        <w:tc>
          <w:tcPr>
            <w:tcW w:type="pct" w:w="50%"/>
            <w:tcMar>
              <w:top w:type="dxa" w:w="60"/>
              <w:left w:type="dxa" w:w="100"/>
              <w:bottom w:type="dxa" w:w="60"/>
              <w:right w:type="dxa" w:w="100"/>
            </w:tcMar>
          </w:tcPr>
          <w:p>
            <w:pPr>
              <w:spacing w:after="20" w:before="20"/>
            </w:pPr>
            <w:r>
              <w:rPr>
                <w:b w:val="false"/>
                <w:bCs w:val="false"/>
                <w:sz w:val="18"/>
                <w:szCs w:val="18"/>
              </w:rPr>
              <w:t xml:space="preserve">Zonificación de Uso del Borde Costero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OTRO</w:t>
            </w:r>
          </w:p>
        </w:tc>
        <w:tc>
          <w:tcPr>
            <w:tcW w:type="pct" w:w="50%"/>
            <w:tcMar>
              <w:top w:type="dxa" w:w="60"/>
              <w:left w:type="dxa" w:w="100"/>
              <w:bottom w:type="dxa" w:w="60"/>
              <w:right w:type="dxa" w:w="100"/>
            </w:tcMar>
          </w:tcPr>
          <w:p>
            <w:pPr>
              <w:spacing w:after="20" w:before="20"/>
            </w:pPr>
            <w:r>
              <w:rPr>
                <w:b w:val="false"/>
                <w:bCs w:val="false"/>
                <w:sz w:val="18"/>
                <w:szCs w:val="18"/>
              </w:rPr>
              <w:t xml:space="preserve">Otro instrumento</w:t>
            </w:r>
          </w:p>
        </w:tc>
      </w:tr>
    </w:tbl>
    <w:p>
      <w:pPr>
        <w:spacing w:after="160"/>
      </w:pPr>
    </w:p>
    <w:p>
      <w:pPr>
        <w:spacing w:after="140" w:line="276"/>
        <w:jc w:val="both"/>
      </w:pPr>
      <w:r>
        <w:rPr>
          <w:sz w:val="21"/>
          <w:szCs w:val="21"/>
        </w:rPr>
        <w:t xml:space="preserve">Una consulta nueva se propone por defecto en estado </w:t>
      </w:r>
      <w:r>
        <w:rPr>
          <w:b/>
          <w:bCs/>
          <w:sz w:val="21"/>
          <w:szCs w:val="21"/>
        </w:rPr>
        <w:t xml:space="preserve">Borrador</w:t>
      </w:r>
      <w:r>
        <w:rPr>
          <w:sz w:val="21"/>
          <w:szCs w:val="21"/>
        </w:rPr>
        <w:t xml:space="preserve"> y con ambos métodos de participación habilitados.</w:t>
      </w:r>
    </w:p>
    <w:p>
      <w:pPr>
        <w:pStyle w:val="Heading2"/>
        <w:spacing w:after="120" w:before="240"/>
      </w:pPr>
      <w:r>
        <w:rPr>
          <w:rFonts w:ascii="Calibri" w:cs="Calibri" w:eastAsia="Calibri" w:hAnsi="Calibri"/>
          <w:b/>
          <w:bCs/>
          <w:color w:val="1F3864"/>
          <w:sz w:val="25"/>
          <w:szCs w:val="25"/>
        </w:rPr>
        <w:t xml:space="preserve">4.2 Estados y ciclo de vida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c>
          <w:tcPr>
            <w:tcW w:type="pct" w:w="33%"/>
            <w:shd w:fill="DCE6F1" w:val="clear"/>
            <w:tcMar>
              <w:top w:type="dxa" w:w="60"/>
              <w:left w:type="dxa" w:w="100"/>
              <w:bottom w:type="dxa" w:w="60"/>
              <w:right w:type="dxa" w:w="100"/>
            </w:tcMar>
          </w:tcPr>
          <w:p>
            <w:pPr>
              <w:spacing w:after="20" w:before="20"/>
            </w:pPr>
            <w:r>
              <w:rPr>
                <w:b/>
                <w:bCs/>
                <w:sz w:val="18"/>
                <w:szCs w:val="18"/>
              </w:rPr>
              <w:t xml:space="preserve">Visible al ciudadano</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Recibe observaciones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Borrador</w:t>
            </w:r>
          </w:p>
        </w:tc>
        <w:tc>
          <w:tcPr>
            <w:tcW w:type="pct" w:w="33%"/>
            <w:tcMar>
              <w:top w:type="dxa" w:w="60"/>
              <w:left w:type="dxa" w:w="100"/>
              <w:bottom w:type="dxa" w:w="60"/>
              <w:right w:type="dxa" w:w="100"/>
            </w:tcMar>
          </w:tcPr>
          <w:p>
            <w:pPr>
              <w:spacing w:after="20" w:before="20"/>
            </w:pPr>
            <w:r>
              <w:rPr>
                <w:b w:val="false"/>
                <w:bCs w:val="false"/>
                <w:sz w:val="18"/>
                <w:szCs w:val="18"/>
              </w:rPr>
              <w:t xml:space="preserve">No</w:t>
            </w:r>
          </w:p>
        </w:tc>
        <w:tc>
          <w:tcPr>
            <w:tcW w:type="pct" w:w="33%"/>
            <w:tcMar>
              <w:top w:type="dxa" w:w="60"/>
              <w:left w:type="dxa" w:w="100"/>
              <w:bottom w:type="dxa" w:w="60"/>
              <w:right w:type="dxa" w:w="100"/>
            </w:tcMar>
          </w:tcPr>
          <w:p>
            <w:pPr>
              <w:spacing w:after="20" w:before="20"/>
            </w:pPr>
            <w:r>
              <w:rPr>
                <w:b w:val="false"/>
                <w:bCs w:val="false"/>
                <w:sz w:val="18"/>
                <w:szCs w:val="18"/>
              </w:rPr>
              <w:t xml:space="preserve">No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Publicada</w:t>
            </w:r>
          </w:p>
        </w:tc>
        <w:tc>
          <w:tcPr>
            <w:tcW w:type="pct" w:w="33%"/>
            <w:tcMar>
              <w:top w:type="dxa" w:w="60"/>
              <w:left w:type="dxa" w:w="100"/>
              <w:bottom w:type="dxa" w:w="60"/>
              <w:right w:type="dxa" w:w="100"/>
            </w:tcMar>
          </w:tcPr>
          <w:p>
            <w:pPr>
              <w:spacing w:after="20" w:before="20"/>
            </w:pPr>
            <w:r>
              <w:rPr>
                <w:b w:val="false"/>
                <w:bCs w:val="false"/>
                <w:sz w:val="18"/>
                <w:szCs w:val="18"/>
              </w:rPr>
              <w:t xml:space="preserve">Sí</w:t>
            </w:r>
          </w:p>
        </w:tc>
        <w:tc>
          <w:tcPr>
            <w:tcW w:type="pct" w:w="33%"/>
            <w:tcMar>
              <w:top w:type="dxa" w:w="60"/>
              <w:left w:type="dxa" w:w="100"/>
              <w:bottom w:type="dxa" w:w="60"/>
              <w:right w:type="dxa" w:w="100"/>
            </w:tcMar>
          </w:tcPr>
          <w:p>
            <w:pPr>
              <w:spacing w:after="20" w:before="20"/>
            </w:pPr>
            <w:r>
              <w:rPr>
                <w:b w:val="false"/>
                <w:bCs w:val="false"/>
                <w:sz w:val="18"/>
                <w:szCs w:val="18"/>
              </w:rPr>
              <w:t xml:space="preserve">No — se anuncia como próxima</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Activa</w:t>
            </w:r>
          </w:p>
        </w:tc>
        <w:tc>
          <w:tcPr>
            <w:tcW w:type="pct" w:w="33%"/>
            <w:tcMar>
              <w:top w:type="dxa" w:w="60"/>
              <w:left w:type="dxa" w:w="100"/>
              <w:bottom w:type="dxa" w:w="60"/>
              <w:right w:type="dxa" w:w="100"/>
            </w:tcMar>
          </w:tcPr>
          <w:p>
            <w:pPr>
              <w:spacing w:after="20" w:before="20"/>
            </w:pPr>
            <w:r>
              <w:rPr>
                <w:b w:val="false"/>
                <w:bCs w:val="false"/>
                <w:sz w:val="18"/>
                <w:szCs w:val="18"/>
              </w:rPr>
              <w:t xml:space="preserve">Sí</w:t>
            </w:r>
          </w:p>
        </w:tc>
        <w:tc>
          <w:tcPr>
            <w:tcW w:type="pct" w:w="33%"/>
            <w:tcMar>
              <w:top w:type="dxa" w:w="60"/>
              <w:left w:type="dxa" w:w="100"/>
              <w:bottom w:type="dxa" w:w="60"/>
              <w:right w:type="dxa" w:w="100"/>
            </w:tcMar>
          </w:tcPr>
          <w:p>
            <w:pPr>
              <w:spacing w:after="20" w:before="20"/>
            </w:pPr>
            <w:r>
              <w:rPr>
                <w:b w:val="false"/>
                <w:bCs w:val="false"/>
                <w:sz w:val="18"/>
                <w:szCs w:val="18"/>
              </w:rPr>
              <w:t xml:space="preserve">Sí, si la fecha actual está dentro de la ventana</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Cerrada</w:t>
            </w:r>
          </w:p>
        </w:tc>
        <w:tc>
          <w:tcPr>
            <w:tcW w:type="pct" w:w="33%"/>
            <w:tcMar>
              <w:top w:type="dxa" w:w="60"/>
              <w:left w:type="dxa" w:w="100"/>
              <w:bottom w:type="dxa" w:w="60"/>
              <w:right w:type="dxa" w:w="100"/>
            </w:tcMar>
          </w:tcPr>
          <w:p>
            <w:pPr>
              <w:spacing w:after="20" w:before="20"/>
            </w:pPr>
            <w:r>
              <w:rPr>
                <w:b w:val="false"/>
                <w:bCs w:val="false"/>
                <w:sz w:val="18"/>
                <w:szCs w:val="18"/>
              </w:rPr>
              <w:t xml:space="preserve">Sí, como proceso concluido</w:t>
            </w:r>
          </w:p>
        </w:tc>
        <w:tc>
          <w:tcPr>
            <w:tcW w:type="pct" w:w="33%"/>
            <w:tcMar>
              <w:top w:type="dxa" w:w="60"/>
              <w:left w:type="dxa" w:w="100"/>
              <w:bottom w:type="dxa" w:w="60"/>
              <w:right w:type="dxa" w:w="100"/>
            </w:tcMar>
          </w:tcPr>
          <w:p>
            <w:pPr>
              <w:spacing w:after="20" w:before="20"/>
            </w:pPr>
            <w:r>
              <w:rPr>
                <w:b w:val="false"/>
                <w:bCs w:val="false"/>
                <w:sz w:val="18"/>
                <w:szCs w:val="18"/>
              </w:rPr>
              <w:t xml:space="preserve">No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Archivada</w:t>
            </w:r>
          </w:p>
        </w:tc>
        <w:tc>
          <w:tcPr>
            <w:tcW w:type="pct" w:w="33%"/>
            <w:tcMar>
              <w:top w:type="dxa" w:w="60"/>
              <w:left w:type="dxa" w:w="100"/>
              <w:bottom w:type="dxa" w:w="60"/>
              <w:right w:type="dxa" w:w="100"/>
            </w:tcMar>
          </w:tcPr>
          <w:p>
            <w:pPr>
              <w:spacing w:after="20" w:before="20"/>
            </w:pPr>
            <w:r>
              <w:rPr>
                <w:b w:val="false"/>
                <w:bCs w:val="false"/>
                <w:sz w:val="18"/>
                <w:szCs w:val="18"/>
              </w:rPr>
              <w:t xml:space="preserve">No</w:t>
            </w:r>
          </w:p>
        </w:tc>
        <w:tc>
          <w:tcPr>
            <w:tcW w:type="pct" w:w="33%"/>
            <w:tcMar>
              <w:top w:type="dxa" w:w="60"/>
              <w:left w:type="dxa" w:w="100"/>
              <w:bottom w:type="dxa" w:w="60"/>
              <w:right w:type="dxa" w:w="100"/>
            </w:tcMar>
          </w:tcPr>
          <w:p>
            <w:pPr>
              <w:spacing w:after="20" w:before="20"/>
            </w:pPr>
            <w:r>
              <w:rPr>
                <w:b w:val="false"/>
                <w:bCs w:val="false"/>
                <w:sz w:val="18"/>
                <w:szCs w:val="18"/>
              </w:rPr>
              <w:t xml:space="preserve">No</w:t>
            </w:r>
          </w:p>
        </w:tc>
      </w:tr>
    </w:tbl>
    <w:p>
      <w:pPr>
        <w:spacing w:after="160"/>
      </w:pPr>
    </w:p>
    <w:p>
      <w:pPr>
        <w:spacing w:after="140" w:line="276"/>
        <w:jc w:val="both"/>
      </w:pPr>
      <w:r>
        <w:rPr>
          <w:sz w:val="21"/>
          <w:szCs w:val="21"/>
        </w:rPr>
        <w:t xml:space="preserve">Ciclo habitual:</w:t>
      </w:r>
    </w:p>
    <w:p>
      <w:pPr>
        <w:shd w:fill="F2F2F2" w:val="clear"/>
        <w:spacing w:after="0" w:before="120"/>
      </w:pPr>
      <w:r>
        <w:rPr>
          <w:rFonts w:ascii="Consolas" w:cs="Consolas" w:eastAsia="Consolas" w:hAnsi="Consolas"/>
          <w:sz w:val="17"/>
          <w:szCs w:val="17"/>
        </w:rPr>
        <w:t xml:space="preserve">Borrador ──► Publicada ──► Activa ──► Cerrada</w:t>
      </w:r>
    </w:p>
    <w:p>
      <w:pPr>
        <w:shd w:fill="F2F2F2" w:val="clear"/>
        <w:spacing w:after="0" w:before="0"/>
      </w:pPr>
      <w:r>
        <w:rPr>
          <w:rFonts w:ascii="Consolas" w:cs="Consolas" w:eastAsia="Consolas" w:hAnsi="Consolas"/>
          <w:sz w:val="17"/>
          <w:szCs w:val="17"/>
        </w:rPr>
        <w:t xml:space="preserve">   │            (se anuncia)  (recibe      (queda como</w:t>
      </w:r>
    </w:p>
    <w:p>
      <w:pPr>
        <w:shd w:fill="F2F2F2" w:val="clear"/>
        <w:spacing w:after="0" w:before="0"/>
      </w:pPr>
      <w:r>
        <w:rPr>
          <w:rFonts w:ascii="Consolas" w:cs="Consolas" w:eastAsia="Consolas" w:hAnsi="Consolas"/>
          <w:sz w:val="17"/>
          <w:szCs w:val="17"/>
        </w:rPr>
        <w:t xml:space="preserve">   │                          observaciones) expediente)</w:t>
      </w:r>
    </w:p>
    <w:p>
      <w:pPr>
        <w:shd w:fill="F2F2F2" w:val="clear"/>
        <w:spacing w:after="160" w:before="0"/>
      </w:pPr>
      <w:r>
        <w:rPr>
          <w:rFonts w:ascii="Consolas" w:cs="Consolas" w:eastAsia="Consolas" w:hAnsi="Consolas"/>
          <w:sz w:val="17"/>
          <w:szCs w:val="17"/>
        </w:rPr>
        <w:t xml:space="preserve">   └──────────────────────────────────────► Archivada</w:t>
      </w:r>
    </w:p>
    <w:p>
      <w:pPr>
        <w:spacing w:after="140" w:line="276"/>
        <w:jc w:val="both"/>
      </w:pPr>
      <w:r>
        <w:rPr>
          <w:b/>
          <w:bCs/>
          <w:sz w:val="21"/>
          <w:szCs w:val="21"/>
        </w:rPr>
        <w:t xml:space="preserve">La fecha manda sobre el estado.</w:t>
      </w:r>
      <w:r>
        <w:rPr>
          <w:sz w:val="21"/>
          <w:szCs w:val="21"/>
        </w:rPr>
        <w:t xml:space="preserve"> Aunque una consulta quede en </w:t>
      </w:r>
      <w:r>
        <w:rPr>
          <w:i/>
          <w:iCs/>
          <w:sz w:val="21"/>
          <w:szCs w:val="21"/>
        </w:rPr>
        <w:t xml:space="preserve">Activa</w:t>
      </w:r>
      <w:r>
        <w:rPr>
          <w:sz w:val="21"/>
          <w:szCs w:val="21"/>
        </w:rPr>
        <w:t xml:space="preserve"> por un cierre manual pendiente, si su fecha de término ya pasó el portal la muestra como cerrada y rechaza nuevos envíos. De la misma forma, una consulta </w:t>
      </w:r>
      <w:r>
        <w:rPr>
          <w:i/>
          <w:iCs/>
          <w:sz w:val="21"/>
          <w:szCs w:val="21"/>
        </w:rPr>
        <w:t xml:space="preserve">Activa</w:t>
      </w:r>
      <w:r>
        <w:rPr>
          <w:sz w:val="21"/>
          <w:szCs w:val="21"/>
        </w:rPr>
        <w:t xml:space="preserve"> cuya fecha de inicio aún no llega se presenta como próxima. Esto evita que aparezcan procesos "en curso" con cero días restantes.</w:t>
      </w:r>
    </w:p>
    <w:p>
      <w:pPr>
        <w:spacing w:after="140" w:line="276"/>
        <w:jc w:val="both"/>
      </w:pPr>
      <w:r>
        <w:rPr>
          <w:sz w:val="21"/>
          <w:szCs w:val="21"/>
        </w:rPr>
        <w:t xml:space="preserve">En consecuencia: </w:t>
      </w:r>
      <w:r>
        <w:rPr>
          <w:b/>
          <w:bCs/>
          <w:sz w:val="21"/>
          <w:szCs w:val="21"/>
        </w:rPr>
        <w:t xml:space="preserve">basta con configurar bien las fechas</w:t>
      </w:r>
      <w:r>
        <w:rPr>
          <w:sz w:val="21"/>
          <w:szCs w:val="21"/>
        </w:rPr>
        <w:t xml:space="preserve">; no es necesario entrar a cambiar el estado el mismo día del cierre.</w:t>
      </w:r>
    </w:p>
    <w:p>
      <w:pPr>
        <w:pStyle w:val="Heading2"/>
        <w:spacing w:after="120" w:before="240"/>
      </w:pPr>
      <w:r>
        <w:rPr>
          <w:rFonts w:ascii="Calibri" w:cs="Calibri" w:eastAsia="Calibri" w:hAnsi="Calibri"/>
          <w:b/>
          <w:bCs/>
          <w:color w:val="1F3864"/>
          <w:sz w:val="25"/>
          <w:szCs w:val="25"/>
        </w:rPr>
        <w:t xml:space="preserve">4.3 Métodos de participación</w:t>
      </w:r>
    </w:p>
    <w:p>
      <w:pPr>
        <w:spacing w:after="140" w:line="276"/>
        <w:jc w:val="both"/>
      </w:pPr>
      <w:r>
        <w:rPr>
          <w:sz w:val="21"/>
          <w:szCs w:val="21"/>
        </w:rPr>
        <w:t xml:space="preserve">Cada consulta define quién puede enviar observaciones:</w:t>
      </w:r>
    </w:p>
    <w:p>
      <w:pPr>
        <w:pStyle w:val="ListParagraph"/>
        <w:numPr>
          <w:ilvl w:val="0"/>
          <w:numId w:val="1"/>
        </w:numPr>
        <w:spacing w:after="60"/>
      </w:pPr>
      <w:r>
        <w:rPr>
          <w:b/>
          <w:bCs/>
          <w:sz w:val="21"/>
          <w:szCs w:val="21"/>
        </w:rPr>
        <w:t xml:space="preserve">ClaveÚnica</w:t>
      </w:r>
      <w:r>
        <w:rPr>
          <w:sz w:val="21"/>
          <w:szCs w:val="21"/>
        </w:rPr>
        <w:t xml:space="preserve"> — el ciudadano se identifica con el sistema oficial del</w:t>
      </w:r>
    </w:p>
    <w:p>
      <w:pPr>
        <w:spacing w:after="140" w:line="276"/>
        <w:jc w:val="both"/>
      </w:pPr>
      <w:r>
        <w:rPr>
          <w:sz w:val="21"/>
          <w:szCs w:val="21"/>
        </w:rPr>
        <w:t xml:space="preserve">Estado. Solo identifica personas naturales chilenas.</w:t>
      </w:r>
    </w:p>
    <w:p>
      <w:pPr>
        <w:pStyle w:val="ListParagraph"/>
        <w:numPr>
          <w:ilvl w:val="0"/>
          <w:numId w:val="1"/>
        </w:numPr>
        <w:spacing w:after="60"/>
      </w:pPr>
      <w:r>
        <w:rPr>
          <w:b/>
          <w:bCs/>
          <w:sz w:val="21"/>
          <w:szCs w:val="21"/>
        </w:rPr>
        <w:t xml:space="preserve">Sin registro</w:t>
      </w:r>
      <w:r>
        <w:rPr>
          <w:sz w:val="21"/>
          <w:szCs w:val="21"/>
        </w:rPr>
        <w:t xml:space="preserve"> — el ciudadano se identifica declarando sus datos en el</w:t>
      </w:r>
    </w:p>
    <w:p>
      <w:pPr>
        <w:spacing w:after="140" w:line="276"/>
        <w:jc w:val="both"/>
      </w:pPr>
      <w:r>
        <w:rPr>
          <w:sz w:val="21"/>
          <w:szCs w:val="21"/>
        </w:rPr>
        <w:t xml:space="preserve">propio formulario, sin crear cuenta. Es la vía por la que participan personas jurídicas y organizaciones sin personalidad jurídica.</w:t>
      </w:r>
    </w:p>
    <w:p>
      <w:pPr>
        <w:spacing w:after="140" w:line="276"/>
        <w:jc w:val="both"/>
      </w:pPr>
      <w:r>
        <w:rPr>
          <w:sz w:val="21"/>
          <w:szCs w:val="21"/>
        </w:rPr>
        <w:t xml:space="preserve">Se puede habilitar uno, otro o ambos. Al menos uno es obligatorio.</w:t>
      </w:r>
    </w:p>
    <w:p>
      <w:pPr>
        <w:pBdr>
          <w:left w:val="single" w:color="1F3864" w:sz="12" w:space="12"/>
        </w:pBdr>
        <w:spacing w:after="160" w:before="120"/>
        <w:ind w:left="360"/>
      </w:pPr>
      <w:r>
        <w:rPr>
          <w:b/>
          <w:bCs/>
          <w:i/>
          <w:iCs/>
          <w:sz w:val="20"/>
          <w:szCs w:val="20"/>
        </w:rPr>
        <w:t xml:space="preserve">Estado actual:</w:t>
      </w:r>
      <w:r>
        <w:rPr>
          <w:i/>
          <w:iCs/>
          <w:sz w:val="20"/>
          <w:szCs w:val="20"/>
        </w:rPr>
        <w:t xml:space="preserve"> ClaveÚnica está </w:t>
      </w:r>
      <w:r>
        <w:rPr>
          <w:b/>
          <w:bCs/>
          <w:i/>
          <w:iCs/>
          <w:sz w:val="20"/>
          <w:szCs w:val="20"/>
        </w:rPr>
        <w:t xml:space="preserve">desactivada a nivel de sistema</w:t>
      </w:r>
      <w:r>
        <w:rPr>
          <w:i/>
          <w:iCs/>
          <w:sz w:val="20"/>
          <w:szCs w:val="20"/>
        </w:rPr>
        <w:t xml:space="preserve"> mientras el GORE no complete el registro del cliente OIDC ante la Unidad de Gobierno Digital. Con la integración apagada, una consulta configurada </w:t>
      </w:r>
      <w:r>
        <w:rPr>
          <w:b/>
          <w:bCs/>
          <w:i/>
          <w:iCs/>
          <w:sz w:val="20"/>
          <w:szCs w:val="20"/>
        </w:rPr>
        <w:t xml:space="preserve">solo</w:t>
      </w:r>
      <w:r>
        <w:rPr>
          <w:i/>
          <w:iCs/>
          <w:sz w:val="20"/>
          <w:szCs w:val="20"/>
        </w:rPr>
        <w:t xml:space="preserve"> con ClaveÚnica muestra el mensaje "participación no disponible por ahora". Mientras dure esa situación, habilitar </w:t>
      </w:r>
      <w:r>
        <w:rPr>
          <w:b/>
          <w:bCs/>
          <w:i/>
          <w:iCs/>
          <w:sz w:val="20"/>
          <w:szCs w:val="20"/>
        </w:rPr>
        <w:t xml:space="preserve">Sin registro</w:t>
      </w:r>
      <w:r>
        <w:rPr>
          <w:i/>
          <w:iCs/>
          <w:sz w:val="20"/>
          <w:szCs w:val="20"/>
        </w:rPr>
        <w:t xml:space="preserve"> en las consultas que deban recibir observaciones. La configuración por consulta se conserva intacta y volverá a operar cuando se active la integración.</w:t>
      </w:r>
    </w:p>
    <w:p>
      <w:pPr>
        <w:pStyle w:val="Heading2"/>
        <w:spacing w:after="120" w:before="240"/>
      </w:pPr>
      <w:r>
        <w:rPr>
          <w:rFonts w:ascii="Calibri" w:cs="Calibri" w:eastAsia="Calibri" w:hAnsi="Calibri"/>
          <w:b/>
          <w:bCs/>
          <w:color w:val="1F3864"/>
          <w:sz w:val="25"/>
          <w:szCs w:val="25"/>
        </w:rPr>
        <w:t xml:space="preserve">4.4 Archivar y restaurar consultas</w:t>
      </w:r>
    </w:p>
    <w:p>
      <w:pPr>
        <w:spacing w:after="140" w:line="276"/>
        <w:jc w:val="both"/>
      </w:pPr>
      <w:r>
        <w:rPr>
          <w:b/>
          <w:bCs/>
          <w:sz w:val="21"/>
          <w:szCs w:val="21"/>
        </w:rPr>
        <w:t xml:space="preserve">Archivar</w:t>
      </w:r>
      <w:r>
        <w:rPr>
          <w:sz w:val="21"/>
          <w:szCs w:val="21"/>
        </w:rPr>
        <w:t xml:space="preserve"> una consulta la retira del listado público y del backoffice sin destruir nada: se conservan sus antecedentes, sus observaciones y sus respuestas. Es la acción correcta para procesos de prueba o duplicados.</w:t>
      </w:r>
    </w:p>
    <w:p>
      <w:pPr>
        <w:spacing w:after="140" w:line="276"/>
        <w:jc w:val="both"/>
      </w:pPr>
      <w:r>
        <w:rPr>
          <w:sz w:val="21"/>
          <w:szCs w:val="21"/>
        </w:rPr>
        <w:t xml:space="preserve">Para recuperarla: </w:t>
      </w:r>
      <w:r>
        <w:rPr>
          <w:b/>
          <w:bCs/>
          <w:sz w:val="21"/>
          <w:szCs w:val="21"/>
        </w:rPr>
        <w:t xml:space="preserve">Consultas → filtro "Archivadas" → Restaurar</w:t>
      </w:r>
      <w:r>
        <w:rPr>
          <w:sz w:val="21"/>
          <w:szCs w:val="21"/>
        </w:rPr>
        <w:t xml:space="preserve">.</w:t>
      </w:r>
    </w:p>
    <w:p>
      <w:pPr>
        <w:spacing w:after="140" w:line="276"/>
        <w:jc w:val="both"/>
      </w:pPr>
      <w:r>
        <w:rPr>
          <w:sz w:val="21"/>
          <w:szCs w:val="21"/>
        </w:rPr>
        <w:t xml:space="preserve">Las observaciones de una consulta archivada siguen siendo consultables desde el listado de observaciones, y su ficha sigue mostrando a qué proceso pertenecen.</w:t>
      </w:r>
    </w:p>
    <w:p>
      <w:pPr>
        <w:pStyle w:val="Heading2"/>
        <w:spacing w:after="120" w:before="240"/>
      </w:pPr>
      <w:r>
        <w:rPr>
          <w:rFonts w:ascii="Calibri" w:cs="Calibri" w:eastAsia="Calibri" w:hAnsi="Calibri"/>
          <w:b/>
          <w:bCs/>
          <w:color w:val="1F3864"/>
          <w:sz w:val="25"/>
          <w:szCs w:val="25"/>
        </w:rPr>
        <w:t xml:space="preserve">4.5 Buscar y filtrar consultas</w:t>
      </w:r>
    </w:p>
    <w:p>
      <w:pPr>
        <w:spacing w:after="140" w:line="276"/>
        <w:jc w:val="both"/>
      </w:pPr>
      <w:r>
        <w:rPr>
          <w:sz w:val="21"/>
          <w:szCs w:val="21"/>
        </w:rPr>
        <w:t xml:space="preserve">El listado permite filtrar por estado, por tipo de instrumento y buscar por título o slug, además de alternar entre activas y archivadas. Muestra el número de observaciones recibidas por cada proceso.</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5. Antecedentes técnicos</w:t>
      </w:r>
    </w:p>
    <w:p>
      <w:pPr>
        <w:spacing w:after="140" w:line="276"/>
        <w:jc w:val="both"/>
      </w:pPr>
      <w:r>
        <w:rPr>
          <w:sz w:val="21"/>
          <w:szCs w:val="21"/>
        </w:rPr>
        <w:t xml:space="preserve">Son los documentos que respaldan el proceso: memorias explicativas, ordenanzas, planos, informes ambientales, cartografía.</w:t>
      </w:r>
    </w:p>
    <w:p>
      <w:pPr>
        <w:spacing w:after="140" w:line="276"/>
        <w:jc w:val="both"/>
      </w:pPr>
      <w:r>
        <w:rPr>
          <w:sz w:val="21"/>
          <w:szCs w:val="21"/>
        </w:rPr>
        <w:t xml:space="preserve">Se administran desde la </w:t>
      </w:r>
      <w:r>
        <w:rPr>
          <w:b/>
          <w:bCs/>
          <w:sz w:val="21"/>
          <w:szCs w:val="21"/>
        </w:rPr>
        <w:t xml:space="preserve">ficha de la consulta</w:t>
      </w:r>
      <w:r>
        <w:rPr>
          <w:sz w:val="21"/>
          <w:szCs w:val="21"/>
        </w:rPr>
        <w:t xml:space="preserve">, sección Antecedentes.</w:t>
      </w:r>
    </w:p>
    <w:p>
      <w:pPr>
        <w:pStyle w:val="Heading2"/>
        <w:spacing w:after="120" w:before="240"/>
      </w:pPr>
      <w:r>
        <w:rPr>
          <w:rFonts w:ascii="Calibri" w:cs="Calibri" w:eastAsia="Calibri" w:hAnsi="Calibri"/>
          <w:b/>
          <w:bCs/>
          <w:color w:val="1F3864"/>
          <w:sz w:val="25"/>
          <w:szCs w:val="25"/>
        </w:rPr>
        <w:t xml:space="preserve">5.1 Subir un documento</w:t>
      </w:r>
    </w:p>
    <w:p>
      <w:pPr>
        <w:spacing w:after="140" w:line="276"/>
        <w:jc w:val="both"/>
      </w:pPr>
      <w:r>
        <w:rPr>
          <w:sz w:val="21"/>
          <w:szCs w:val="21"/>
        </w:rPr>
        <w:t xml:space="preserve">Se indica un </w:t>
      </w:r>
      <w:r>
        <w:rPr>
          <w:b/>
          <w:bCs/>
          <w:sz w:val="21"/>
          <w:szCs w:val="21"/>
        </w:rPr>
        <w:t xml:space="preserve">título</w:t>
      </w:r>
      <w:r>
        <w:rPr>
          <w:sz w:val="21"/>
          <w:szCs w:val="21"/>
        </w:rPr>
        <w:t xml:space="preserve"> (el nombre con que lo verá la ciudadanía), una </w:t>
      </w:r>
      <w:r>
        <w:rPr>
          <w:b/>
          <w:bCs/>
          <w:sz w:val="21"/>
          <w:szCs w:val="21"/>
        </w:rPr>
        <w:t xml:space="preserve">descripción</w:t>
      </w:r>
      <w:r>
        <w:rPr>
          <w:sz w:val="21"/>
          <w:szCs w:val="21"/>
        </w:rPr>
        <w:t xml:space="preserve"> opcional y el archivo. Al subirlo, el sistema registra automáticamente el nombre original, el tipo MIME, el tamaño, el usuario que lo subió y un </w:t>
      </w:r>
      <w:r>
        <w:rPr>
          <w:b/>
          <w:bCs/>
          <w:sz w:val="21"/>
          <w:szCs w:val="21"/>
        </w:rPr>
        <w:t xml:space="preserve">hash SHA-256</w:t>
      </w:r>
      <w:r>
        <w:rPr>
          <w:sz w:val="21"/>
          <w:szCs w:val="21"/>
        </w:rPr>
        <w:t xml:space="preserve"> que permite verificar más adelante que el archivo no fue alterado.</w:t>
      </w:r>
    </w:p>
    <w:p>
      <w:pPr>
        <w:spacing w:after="140" w:line="276"/>
        <w:jc w:val="both"/>
      </w:pPr>
      <w:r>
        <w:rPr>
          <w:sz w:val="21"/>
          <w:szCs w:val="21"/>
        </w:rPr>
        <w:t xml:space="preserve">El tope de tamaño en servidor es de 110 MB por archivo.</w:t>
      </w:r>
    </w:p>
    <w:p>
      <w:pPr>
        <w:pStyle w:val="Heading2"/>
        <w:spacing w:after="120" w:before="240"/>
      </w:pPr>
      <w:r>
        <w:rPr>
          <w:rFonts w:ascii="Calibri" w:cs="Calibri" w:eastAsia="Calibri" w:hAnsi="Calibri"/>
          <w:b/>
          <w:bCs/>
          <w:color w:val="1F3864"/>
          <w:sz w:val="25"/>
          <w:szCs w:val="25"/>
        </w:rPr>
        <w:t xml:space="preserve">5.2 Reemplazo versionado</w:t>
      </w:r>
    </w:p>
    <w:p>
      <w:pPr>
        <w:spacing w:after="140" w:line="276"/>
        <w:jc w:val="both"/>
      </w:pPr>
      <w:r>
        <w:rPr>
          <w:sz w:val="21"/>
          <w:szCs w:val="21"/>
        </w:rPr>
        <w:t xml:space="preserve">Al reemplazar un antecedente, el sistema </w:t>
      </w:r>
      <w:r>
        <w:rPr>
          <w:b/>
          <w:bCs/>
          <w:sz w:val="21"/>
          <w:szCs w:val="21"/>
        </w:rPr>
        <w:t xml:space="preserve">no sobrescribe</w:t>
      </w:r>
      <w:r>
        <w:rPr>
          <w:sz w:val="21"/>
          <w:szCs w:val="21"/>
        </w:rPr>
        <w:t xml:space="preserve">: archiva la versión vigente y crea una versión nueva con número incremental, ambas asociadas al mismo documento lógico. Así queda reconstruible el historial completo de qué versión estuvo publicada y cuándo.</w:t>
      </w:r>
    </w:p>
    <w:p>
      <w:pPr>
        <w:spacing w:after="140" w:line="276"/>
        <w:jc w:val="both"/>
      </w:pPr>
      <w:r>
        <w:rPr>
          <w:sz w:val="21"/>
          <w:szCs w:val="21"/>
        </w:rPr>
        <w:t xml:space="preserve">La descarga pública siempre entrega la versión vigente.</w:t>
      </w:r>
    </w:p>
    <w:p>
      <w:pPr>
        <w:pStyle w:val="Heading2"/>
        <w:spacing w:after="120" w:before="240"/>
      </w:pPr>
      <w:r>
        <w:rPr>
          <w:rFonts w:ascii="Calibri" w:cs="Calibri" w:eastAsia="Calibri" w:hAnsi="Calibri"/>
          <w:b/>
          <w:bCs/>
          <w:color w:val="1F3864"/>
          <w:sz w:val="25"/>
          <w:szCs w:val="25"/>
        </w:rPr>
        <w:t xml:space="preserve">5.3 Descarga y seguridad</w:t>
      </w:r>
    </w:p>
    <w:p>
      <w:pPr>
        <w:spacing w:after="140" w:line="276"/>
        <w:jc w:val="both"/>
      </w:pPr>
      <w:r>
        <w:rPr>
          <w:sz w:val="21"/>
          <w:szCs w:val="21"/>
        </w:rPr>
        <w:t xml:space="preserve">Los archivos </w:t>
      </w:r>
      <w:r>
        <w:rPr>
          <w:b/>
          <w:bCs/>
          <w:sz w:val="21"/>
          <w:szCs w:val="21"/>
        </w:rPr>
        <w:t xml:space="preserve">no son públicos en el almacenamiento</w:t>
      </w:r>
      <w:r>
        <w:rPr>
          <w:sz w:val="21"/>
          <w:szCs w:val="21"/>
        </w:rPr>
        <w:t xml:space="preserve">. Toda descarga pasa por la aplicación, que verifica el contexto antes de entregar el archivo. Esto significa que no existen enlaces directos al bucket que puedan circular fuera del portal.</w:t>
      </w:r>
    </w:p>
    <w:p>
      <w:pPr>
        <w:pStyle w:val="Heading2"/>
        <w:spacing w:after="120" w:before="240"/>
      </w:pPr>
      <w:r>
        <w:rPr>
          <w:rFonts w:ascii="Calibri" w:cs="Calibri" w:eastAsia="Calibri" w:hAnsi="Calibri"/>
          <w:b/>
          <w:bCs/>
          <w:color w:val="1F3864"/>
          <w:sz w:val="25"/>
          <w:szCs w:val="25"/>
        </w:rPr>
        <w:t xml:space="preserve">5.4 Archivar un documento</w:t>
      </w:r>
    </w:p>
    <w:p>
      <w:pPr>
        <w:spacing w:after="140" w:line="276"/>
        <w:jc w:val="both"/>
      </w:pPr>
      <w:r>
        <w:rPr>
          <w:sz w:val="21"/>
          <w:szCs w:val="21"/>
        </w:rPr>
        <w:t xml:space="preserve">Archivar un antecedente lo retira de la vista, pero </w:t>
      </w:r>
      <w:r>
        <w:rPr>
          <w:b/>
          <w:bCs/>
          <w:sz w:val="21"/>
          <w:szCs w:val="21"/>
        </w:rPr>
        <w:t xml:space="preserve">el archivo se conserva en el almacenamiento</w:t>
      </w:r>
      <w:r>
        <w:rPr>
          <w:sz w:val="21"/>
          <w:szCs w:val="21"/>
        </w:rPr>
        <w:t xml:space="preserve">, conforme a la política de expedientes inalterables.</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6. Observaciones ciudadanas</w:t>
      </w:r>
    </w:p>
    <w:p>
      <w:pPr>
        <w:spacing w:after="140" w:line="276"/>
        <w:jc w:val="both"/>
      </w:pPr>
      <w:r>
        <w:rPr>
          <w:b/>
          <w:bCs/>
          <w:sz w:val="21"/>
          <w:szCs w:val="21"/>
        </w:rPr>
        <w:t xml:space="preserve">Observaciones</w:t>
      </w:r>
      <w:r>
        <w:rPr>
          <w:sz w:val="21"/>
          <w:szCs w:val="21"/>
        </w:rPr>
        <w:t xml:space="preserve"> en el menú lateral muestra todo lo recibido, ordenado de más reciente a más antigua.</w:t>
      </w:r>
    </w:p>
    <w:p>
      <w:pPr>
        <w:pStyle w:val="Heading2"/>
        <w:spacing w:after="120" w:before="240"/>
      </w:pPr>
      <w:r>
        <w:rPr>
          <w:rFonts w:ascii="Calibri" w:cs="Calibri" w:eastAsia="Calibri" w:hAnsi="Calibri"/>
          <w:b/>
          <w:bCs/>
          <w:color w:val="1F3864"/>
          <w:sz w:val="25"/>
          <w:szCs w:val="25"/>
        </w:rPr>
        <w:t xml:space="preserve">6.1 Qué se registra por cada observación</w:t>
      </w:r>
    </w:p>
    <w:p>
      <w:pPr>
        <w:spacing w:after="140" w:line="276"/>
        <w:jc w:val="both"/>
      </w:pPr>
      <w:r>
        <w:rPr>
          <w:sz w:val="21"/>
          <w:szCs w:val="21"/>
        </w:rPr>
        <w:t xml:space="preserve">Además del texto, cada observación guarda una </w:t>
      </w:r>
      <w:r>
        <w:rPr>
          <w:b/>
          <w:bCs/>
          <w:sz w:val="21"/>
          <w:szCs w:val="21"/>
        </w:rPr>
        <w:t xml:space="preserve">fotografía de la identidad</w:t>
      </w:r>
      <w:r>
        <w:rPr>
          <w:sz w:val="21"/>
          <w:szCs w:val="21"/>
        </w:rPr>
        <w:t xml:space="preserve"> del participante al momento del envío, que ya no cambia aunque después se modifique cualquier otro dato:</w:t>
      </w:r>
    </w:p>
    <w:p>
      <w:pPr>
        <w:pStyle w:val="ListParagraph"/>
        <w:numPr>
          <w:ilvl w:val="0"/>
          <w:numId w:val="1"/>
        </w:numPr>
        <w:spacing w:after="60"/>
      </w:pPr>
      <w:r>
        <w:rPr>
          <w:sz w:val="21"/>
          <w:szCs w:val="21"/>
        </w:rPr>
        <w:t xml:space="preserve">Código público único (UUID) e identificador interno</w:t>
      </w:r>
    </w:p>
    <w:p>
      <w:pPr>
        <w:pStyle w:val="ListParagraph"/>
        <w:numPr>
          <w:ilvl w:val="0"/>
          <w:numId w:val="1"/>
        </w:numPr>
        <w:spacing w:after="60"/>
      </w:pPr>
      <w:r>
        <w:rPr>
          <w:sz w:val="21"/>
          <w:szCs w:val="21"/>
        </w:rPr>
        <w:t xml:space="preserve">Fecha y hora de envío</w:t>
      </w:r>
    </w:p>
    <w:p>
      <w:pPr>
        <w:pStyle w:val="ListParagraph"/>
        <w:numPr>
          <w:ilvl w:val="0"/>
          <w:numId w:val="1"/>
        </w:numPr>
        <w:spacing w:after="60"/>
      </w:pPr>
      <w:r>
        <w:rPr>
          <w:sz w:val="21"/>
          <w:szCs w:val="21"/>
        </w:rPr>
        <w:t xml:space="preserve">Proceso al que corresponde</w:t>
      </w:r>
    </w:p>
    <w:p>
      <w:pPr>
        <w:pStyle w:val="ListParagraph"/>
        <w:numPr>
          <w:ilvl w:val="0"/>
          <w:numId w:val="1"/>
        </w:numPr>
        <w:spacing w:after="60"/>
      </w:pPr>
      <w:r>
        <w:rPr>
          <w:sz w:val="21"/>
          <w:szCs w:val="21"/>
        </w:rPr>
        <w:t xml:space="preserve">Tema, asunto y cuerpo</w:t>
      </w:r>
    </w:p>
    <w:p>
      <w:pPr>
        <w:pStyle w:val="ListParagraph"/>
        <w:numPr>
          <w:ilvl w:val="0"/>
          <w:numId w:val="1"/>
        </w:numPr>
        <w:spacing w:after="60"/>
      </w:pPr>
      <w:r>
        <w:rPr>
          <w:sz w:val="21"/>
          <w:szCs w:val="21"/>
        </w:rPr>
        <w:t xml:space="preserve">Método de identificación usado (ClaveÚnica o sin registro)</w:t>
      </w:r>
    </w:p>
    <w:p>
      <w:pPr>
        <w:pStyle w:val="ListParagraph"/>
        <w:numPr>
          <w:ilvl w:val="0"/>
          <w:numId w:val="1"/>
        </w:numPr>
        <w:spacing w:after="60"/>
      </w:pPr>
      <w:r>
        <w:rPr>
          <w:sz w:val="21"/>
          <w:szCs w:val="21"/>
        </w:rPr>
        <w:t xml:space="preserve">Tipo de participante y sus datos declarados</w:t>
      </w:r>
    </w:p>
    <w:p>
      <w:pPr>
        <w:pStyle w:val="ListParagraph"/>
        <w:numPr>
          <w:ilvl w:val="0"/>
          <w:numId w:val="1"/>
        </w:numPr>
        <w:spacing w:after="60"/>
      </w:pPr>
      <w:r>
        <w:rPr>
          <w:sz w:val="21"/>
          <w:szCs w:val="21"/>
        </w:rPr>
        <w:t xml:space="preserve">Archivo adjunto, si lo hubo</w:t>
      </w:r>
    </w:p>
    <w:p>
      <w:pPr>
        <w:pStyle w:val="ListParagraph"/>
        <w:numPr>
          <w:ilvl w:val="0"/>
          <w:numId w:val="1"/>
        </w:numPr>
        <w:spacing w:after="60"/>
      </w:pPr>
      <w:r>
        <w:rPr>
          <w:sz w:val="21"/>
          <w:szCs w:val="21"/>
        </w:rPr>
        <w:t xml:space="preserve">Dirección IP y navegador de origen</w:t>
      </w:r>
    </w:p>
    <w:p>
      <w:pPr>
        <w:pStyle w:val="Heading2"/>
        <w:spacing w:after="120" w:before="240"/>
      </w:pPr>
      <w:r>
        <w:rPr>
          <w:rFonts w:ascii="Calibri" w:cs="Calibri" w:eastAsia="Calibri" w:hAnsi="Calibri"/>
          <w:b/>
          <w:bCs/>
          <w:color w:val="1F3864"/>
          <w:sz w:val="25"/>
          <w:szCs w:val="25"/>
        </w:rPr>
        <w:t xml:space="preserve">6.2 Tipos de participante</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gridCol w:w="100"/>
      </w:tblGrid>
      <w:tr>
        <w:trPr>
          <w:tblHeader/>
        </w:trPr>
        <w:tc>
          <w:tcPr>
            <w:tcW w:type="pct" w:w="25%"/>
            <w:shd w:fill="DCE6F1" w:val="clear"/>
            <w:tcMar>
              <w:top w:type="dxa" w:w="60"/>
              <w:left w:type="dxa" w:w="100"/>
              <w:bottom w:type="dxa" w:w="60"/>
              <w:right w:type="dxa" w:w="100"/>
            </w:tcMar>
          </w:tcPr>
          <w:p>
            <w:pPr>
              <w:spacing w:after="20" w:before="20"/>
            </w:pPr>
            <w:r>
              <w:rPr>
                <w:b/>
                <w:bCs/>
                <w:sz w:val="18"/>
                <w:szCs w:val="18"/>
              </w:rPr>
              <w:t xml:space="preserve">Tipo</w:t>
            </w:r>
          </w:p>
        </w:tc>
        <w:tc>
          <w:tcPr>
            <w:tcW w:type="pct" w:w="25%"/>
            <w:shd w:fill="DCE6F1" w:val="clear"/>
            <w:tcMar>
              <w:top w:type="dxa" w:w="60"/>
              <w:left w:type="dxa" w:w="100"/>
              <w:bottom w:type="dxa" w:w="60"/>
              <w:right w:type="dxa" w:w="100"/>
            </w:tcMar>
          </w:tcPr>
          <w:p>
            <w:pPr>
              <w:spacing w:after="20" w:before="20"/>
            </w:pPr>
            <w:r>
              <w:rPr>
                <w:b/>
                <w:bCs/>
                <w:sz w:val="18"/>
                <w:szCs w:val="18"/>
              </w:rPr>
              <w:t xml:space="preserve">Cómo participa</w:t>
            </w:r>
          </w:p>
        </w:tc>
        <w:tc>
          <w:tcPr>
            <w:tcW w:type="pct" w:w="25%"/>
            <w:shd w:fill="DCE6F1" w:val="clear"/>
            <w:tcMar>
              <w:top w:type="dxa" w:w="60"/>
              <w:left w:type="dxa" w:w="100"/>
              <w:bottom w:type="dxa" w:w="60"/>
              <w:right w:type="dxa" w:w="100"/>
            </w:tcMar>
          </w:tcPr>
          <w:p>
            <w:pPr>
              <w:spacing w:after="20" w:before="20"/>
            </w:pPr>
            <w:r>
              <w:rPr>
                <w:b/>
                <w:bCs/>
                <w:sz w:val="18"/>
                <w:szCs w:val="18"/>
              </w:rPr>
              <w:t xml:space="preserve">Datos obligatorios</w:t>
            </w:r>
          </w:p>
        </w:tc>
        <w:tc>
          <w:tcPr>
            <w:tcW w:type="pct" w:w="25%"/>
            <w:shd w:fill="DCE6F1" w:val="clear"/>
            <w:tcMar>
              <w:top w:type="dxa" w:w="60"/>
              <w:left w:type="dxa" w:w="100"/>
              <w:bottom w:type="dxa" w:w="60"/>
              <w:right w:type="dxa" w:w="100"/>
            </w:tcMar>
          </w:tcPr>
          <w:p>
            <w:pPr>
              <w:spacing w:after="20" w:before="20"/>
            </w:pPr>
            <w:r>
              <w:rPr>
                <w:b/>
                <w:bCs/>
                <w:sz w:val="18"/>
                <w:szCs w:val="18"/>
              </w:rPr>
              <w:t xml:space="preserve">Datos opcionales</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Persona Natural</w:t>
            </w:r>
          </w:p>
        </w:tc>
        <w:tc>
          <w:tcPr>
            <w:tcW w:type="pct" w:w="25%"/>
            <w:tcMar>
              <w:top w:type="dxa" w:w="60"/>
              <w:left w:type="dxa" w:w="100"/>
              <w:bottom w:type="dxa" w:w="60"/>
              <w:right w:type="dxa" w:w="100"/>
            </w:tcMar>
          </w:tcPr>
          <w:p>
            <w:pPr>
              <w:spacing w:after="20" w:before="20"/>
            </w:pPr>
            <w:r>
              <w:rPr>
                <w:b w:val="false"/>
                <w:bCs w:val="false"/>
                <w:sz w:val="18"/>
                <w:szCs w:val="18"/>
              </w:rPr>
              <w:t xml:space="preserve">ClaveÚnica o sin registro</w:t>
            </w:r>
          </w:p>
        </w:tc>
        <w:tc>
          <w:tcPr>
            <w:tcW w:type="pct" w:w="25%"/>
            <w:tcMar>
              <w:top w:type="dxa" w:w="60"/>
              <w:left w:type="dxa" w:w="100"/>
              <w:bottom w:type="dxa" w:w="60"/>
              <w:right w:type="dxa" w:w="100"/>
            </w:tcMar>
          </w:tcPr>
          <w:p>
            <w:pPr>
              <w:spacing w:after="20" w:before="20"/>
            </w:pPr>
            <w:r>
              <w:rPr>
                <w:b w:val="false"/>
                <w:bCs w:val="false"/>
                <w:sz w:val="18"/>
                <w:szCs w:val="18"/>
              </w:rPr>
              <w:t xml:space="preserve">Nombre, correo, tipo de identificación (RUT o pasaporte) y número</w:t>
            </w:r>
          </w:p>
        </w:tc>
        <w:tc>
          <w:tcPr>
            <w:tcW w:type="pct" w:w="25%"/>
            <w:tcMar>
              <w:top w:type="dxa" w:w="60"/>
              <w:left w:type="dxa" w:w="100"/>
              <w:bottom w:type="dxa" w:w="60"/>
              <w:right w:type="dxa" w:w="100"/>
            </w:tcMar>
          </w:tcPr>
          <w:p>
            <w:pPr>
              <w:spacing w:after="20" w:before="20"/>
            </w:pPr>
            <w:r>
              <w:rPr>
                <w:b w:val="false"/>
                <w:bCs w:val="false"/>
                <w:sz w:val="18"/>
                <w:szCs w:val="18"/>
              </w:rPr>
              <w:t xml:space="preserve">Teléfono, comuna, edad</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Persona Jurídica</w:t>
            </w:r>
          </w:p>
        </w:tc>
        <w:tc>
          <w:tcPr>
            <w:tcW w:type="pct" w:w="25%"/>
            <w:tcMar>
              <w:top w:type="dxa" w:w="60"/>
              <w:left w:type="dxa" w:w="100"/>
              <w:bottom w:type="dxa" w:w="60"/>
              <w:right w:type="dxa" w:w="100"/>
            </w:tcMar>
          </w:tcPr>
          <w:p>
            <w:pPr>
              <w:spacing w:after="20" w:before="20"/>
            </w:pPr>
            <w:r>
              <w:rPr>
                <w:b w:val="false"/>
                <w:bCs w:val="false"/>
                <w:sz w:val="18"/>
                <w:szCs w:val="18"/>
              </w:rPr>
              <w:t xml:space="preserve">Solo sin registro</w:t>
            </w:r>
          </w:p>
        </w:tc>
        <w:tc>
          <w:tcPr>
            <w:tcW w:type="pct" w:w="25%"/>
            <w:tcMar>
              <w:top w:type="dxa" w:w="60"/>
              <w:left w:type="dxa" w:w="100"/>
              <w:bottom w:type="dxa" w:w="60"/>
              <w:right w:type="dxa" w:w="100"/>
            </w:tcMar>
          </w:tcPr>
          <w:p>
            <w:pPr>
              <w:spacing w:after="20" w:before="20"/>
            </w:pPr>
            <w:r>
              <w:rPr>
                <w:b w:val="false"/>
                <w:bCs w:val="false"/>
                <w:sz w:val="18"/>
                <w:szCs w:val="18"/>
              </w:rPr>
              <w:t xml:space="preserve">Razón social, correo, RUT de la entidad</w:t>
            </w:r>
          </w:p>
        </w:tc>
        <w:tc>
          <w:tcPr>
            <w:tcW w:type="pct" w:w="25%"/>
            <w:tcMar>
              <w:top w:type="dxa" w:w="60"/>
              <w:left w:type="dxa" w:w="100"/>
              <w:bottom w:type="dxa" w:w="60"/>
              <w:right w:type="dxa" w:w="100"/>
            </w:tcMar>
          </w:tcPr>
          <w:p>
            <w:pPr>
              <w:spacing w:after="20" w:before="20"/>
            </w:pPr>
            <w:r>
              <w:rPr>
                <w:b w:val="false"/>
                <w:bCs w:val="false"/>
                <w:sz w:val="18"/>
                <w:szCs w:val="18"/>
              </w:rPr>
              <w:t xml:space="preserve">Nombre de fantasía, teléfono, dirección</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Organización sin PJ</w:t>
            </w:r>
          </w:p>
        </w:tc>
        <w:tc>
          <w:tcPr>
            <w:tcW w:type="pct" w:w="25%"/>
            <w:tcMar>
              <w:top w:type="dxa" w:w="60"/>
              <w:left w:type="dxa" w:w="100"/>
              <w:bottom w:type="dxa" w:w="60"/>
              <w:right w:type="dxa" w:w="100"/>
            </w:tcMar>
          </w:tcPr>
          <w:p>
            <w:pPr>
              <w:spacing w:after="20" w:before="20"/>
            </w:pPr>
            <w:r>
              <w:rPr>
                <w:b w:val="false"/>
                <w:bCs w:val="false"/>
                <w:sz w:val="18"/>
                <w:szCs w:val="18"/>
              </w:rPr>
              <w:t xml:space="preserve">Solo sin registro</w:t>
            </w:r>
          </w:p>
        </w:tc>
        <w:tc>
          <w:tcPr>
            <w:tcW w:type="pct" w:w="25%"/>
            <w:tcMar>
              <w:top w:type="dxa" w:w="60"/>
              <w:left w:type="dxa" w:w="100"/>
              <w:bottom w:type="dxa" w:w="60"/>
              <w:right w:type="dxa" w:w="100"/>
            </w:tcMar>
          </w:tcPr>
          <w:p>
            <w:pPr>
              <w:spacing w:after="20" w:before="20"/>
            </w:pPr>
            <w:r>
              <w:rPr>
                <w:b w:val="false"/>
                <w:bCs w:val="false"/>
                <w:sz w:val="18"/>
                <w:szCs w:val="18"/>
              </w:rPr>
              <w:t xml:space="preserve">Razón social, correo, RUT de la entidad</w:t>
            </w:r>
          </w:p>
        </w:tc>
        <w:tc>
          <w:tcPr>
            <w:tcW w:type="pct" w:w="25%"/>
            <w:tcMar>
              <w:top w:type="dxa" w:w="60"/>
              <w:left w:type="dxa" w:w="100"/>
              <w:bottom w:type="dxa" w:w="60"/>
              <w:right w:type="dxa" w:w="100"/>
            </w:tcMar>
          </w:tcPr>
          <w:p>
            <w:pPr>
              <w:spacing w:after="20" w:before="20"/>
            </w:pPr>
            <w:r>
              <w:rPr>
                <w:b w:val="false"/>
                <w:bCs w:val="false"/>
                <w:sz w:val="18"/>
                <w:szCs w:val="18"/>
              </w:rPr>
              <w:t xml:space="preserve">Nombre de fantasía, teléfono, dirección</w:t>
            </w:r>
          </w:p>
        </w:tc>
      </w:tr>
    </w:tbl>
    <w:p>
      <w:pPr>
        <w:spacing w:after="160"/>
      </w:pPr>
    </w:p>
    <w:p>
      <w:pPr>
        <w:spacing w:after="140" w:line="276"/>
        <w:jc w:val="both"/>
      </w:pPr>
      <w:r>
        <w:rPr>
          <w:sz w:val="21"/>
          <w:szCs w:val="21"/>
        </w:rPr>
        <w:t xml:space="preserve">Las personas jurídicas y las organizaciones </w:t>
      </w:r>
      <w:r>
        <w:rPr>
          <w:b/>
          <w:bCs/>
          <w:sz w:val="21"/>
          <w:szCs w:val="21"/>
        </w:rPr>
        <w:t xml:space="preserve">nunca ingresan por ClaveÚnica</w:t>
      </w:r>
      <w:r>
        <w:rPr>
          <w:sz w:val="21"/>
          <w:szCs w:val="21"/>
        </w:rPr>
        <w:t xml:space="preserve">: ese servicio solo identifica personas naturales. El sistema lo impide a nivel de datos, no solo de formulario.</w:t>
      </w:r>
    </w:p>
    <w:p>
      <w:pPr>
        <w:spacing w:after="140" w:line="276"/>
        <w:jc w:val="both"/>
      </w:pPr>
      <w:r>
        <w:rPr>
          <w:sz w:val="21"/>
          <w:szCs w:val="21"/>
        </w:rPr>
        <w:t xml:space="preserve">En el listado y en la ficha, la identidad de una persona jurídica se muestra por su razón social y el RUT de la entidad; la de una persona natural, por su nombre y su RUT o pasaporte.</w:t>
      </w:r>
    </w:p>
    <w:p>
      <w:pPr>
        <w:pStyle w:val="Heading2"/>
        <w:spacing w:after="120" w:before="240"/>
      </w:pPr>
      <w:r>
        <w:rPr>
          <w:rFonts w:ascii="Calibri" w:cs="Calibri" w:eastAsia="Calibri" w:hAnsi="Calibri"/>
          <w:b/>
          <w:bCs/>
          <w:color w:val="1F3864"/>
          <w:sz w:val="25"/>
          <w:szCs w:val="25"/>
        </w:rPr>
        <w:t xml:space="preserve">6.3 Temas disponibles</w:t>
      </w:r>
    </w:p>
    <w:p>
      <w:pPr>
        <w:spacing w:after="140" w:line="276"/>
        <w:jc w:val="both"/>
      </w:pPr>
      <w:r>
        <w:rPr>
          <w:sz w:val="21"/>
          <w:szCs w:val="21"/>
        </w:rPr>
        <w:t xml:space="preserve">El ciudadano clasifica cada observación con uno de estos temas: Uso de suelo, Vialidad, Áreas verdes, Patrimonio, Equipamiento, Riesgo natural, Otro.</w:t>
      </w:r>
    </w:p>
    <w:p>
      <w:pPr>
        <w:pStyle w:val="Heading2"/>
        <w:spacing w:after="120" w:before="240"/>
      </w:pPr>
      <w:r>
        <w:rPr>
          <w:rFonts w:ascii="Calibri" w:cs="Calibri" w:eastAsia="Calibri" w:hAnsi="Calibri"/>
          <w:b/>
          <w:bCs/>
          <w:color w:val="1F3864"/>
          <w:sz w:val="25"/>
          <w:szCs w:val="25"/>
        </w:rPr>
        <w:t xml:space="preserve">6.4 Envíos con varias observaciones</w:t>
      </w:r>
    </w:p>
    <w:p>
      <w:pPr>
        <w:spacing w:after="140" w:line="276"/>
        <w:jc w:val="both"/>
      </w:pPr>
      <w:r>
        <w:rPr>
          <w:sz w:val="21"/>
          <w:szCs w:val="21"/>
        </w:rPr>
        <w:t xml:space="preserve">Un ciudadano puede enviar </w:t>
      </w:r>
      <w:r>
        <w:rPr>
          <w:b/>
          <w:bCs/>
          <w:sz w:val="21"/>
          <w:szCs w:val="21"/>
        </w:rPr>
        <w:t xml:space="preserve">hasta 20 observaciones en una sola participación</w:t>
      </w:r>
      <w:r>
        <w:rPr>
          <w:sz w:val="21"/>
          <w:szCs w:val="21"/>
        </w:rPr>
        <w:t xml:space="preserve">, cada una con su propio tema, asunto, texto y adjunto. Todas quedan agrupadas bajo un mismo identificador de envío, lo que permite ver juntas las observaciones de una misma persona en un mismo trámite.</w:t>
      </w:r>
    </w:p>
    <w:p>
      <w:pPr>
        <w:pStyle w:val="Heading2"/>
        <w:spacing w:after="120" w:before="240"/>
      </w:pPr>
      <w:r>
        <w:rPr>
          <w:rFonts w:ascii="Calibri" w:cs="Calibri" w:eastAsia="Calibri" w:hAnsi="Calibri"/>
          <w:b/>
          <w:bCs/>
          <w:color w:val="1F3864"/>
          <w:sz w:val="25"/>
          <w:szCs w:val="25"/>
        </w:rPr>
        <w:t xml:space="preserve">6.5 Filtros y búsqueda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Filtro</w:t>
            </w:r>
          </w:p>
        </w:tc>
        <w:tc>
          <w:tcPr>
            <w:tcW w:type="pct" w:w="50%"/>
            <w:shd w:fill="DCE6F1" w:val="clear"/>
            <w:tcMar>
              <w:top w:type="dxa" w:w="60"/>
              <w:left w:type="dxa" w:w="100"/>
              <w:bottom w:type="dxa" w:w="60"/>
              <w:right w:type="dxa" w:w="100"/>
            </w:tcMar>
          </w:tcPr>
          <w:p>
            <w:pPr>
              <w:spacing w:after="20" w:before="20"/>
            </w:pPr>
            <w:r>
              <w:rPr>
                <w:b/>
                <w:bCs/>
                <w:sz w:val="18"/>
                <w:szCs w:val="18"/>
              </w:rPr>
              <w:t xml:space="preserve">Uso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Proceso</w:t>
            </w:r>
          </w:p>
        </w:tc>
        <w:tc>
          <w:tcPr>
            <w:tcW w:type="pct" w:w="50%"/>
            <w:tcMar>
              <w:top w:type="dxa" w:w="60"/>
              <w:left w:type="dxa" w:w="100"/>
              <w:bottom w:type="dxa" w:w="60"/>
              <w:right w:type="dxa" w:w="100"/>
            </w:tcMar>
          </w:tcPr>
          <w:p>
            <w:pPr>
              <w:spacing w:after="20" w:before="20"/>
            </w:pPr>
            <w:r>
              <w:rPr>
                <w:b w:val="false"/>
                <w:bCs w:val="false"/>
                <w:sz w:val="18"/>
                <w:szCs w:val="18"/>
              </w:rPr>
              <w:t xml:space="preserve">Aísla las observaciones de una consulta</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Método de identificación</w:t>
            </w:r>
          </w:p>
        </w:tc>
        <w:tc>
          <w:tcPr>
            <w:tcW w:type="pct" w:w="50%"/>
            <w:tcMar>
              <w:top w:type="dxa" w:w="60"/>
              <w:left w:type="dxa" w:w="100"/>
              <w:bottom w:type="dxa" w:w="60"/>
              <w:right w:type="dxa" w:w="100"/>
            </w:tcMar>
          </w:tcPr>
          <w:p>
            <w:pPr>
              <w:spacing w:after="20" w:before="20"/>
            </w:pPr>
            <w:r>
              <w:rPr>
                <w:b w:val="false"/>
                <w:bCs w:val="false"/>
                <w:sz w:val="18"/>
                <w:szCs w:val="18"/>
              </w:rPr>
              <w:t xml:space="preserve">ClaveÚnica o sin registro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Desde / Hasta</w:t>
            </w:r>
          </w:p>
        </w:tc>
        <w:tc>
          <w:tcPr>
            <w:tcW w:type="pct" w:w="50%"/>
            <w:tcMar>
              <w:top w:type="dxa" w:w="60"/>
              <w:left w:type="dxa" w:w="100"/>
              <w:bottom w:type="dxa" w:w="60"/>
              <w:right w:type="dxa" w:w="100"/>
            </w:tcMar>
          </w:tcPr>
          <w:p>
            <w:pPr>
              <w:spacing w:after="20" w:before="20"/>
            </w:pPr>
            <w:r>
              <w:rPr>
                <w:b w:val="false"/>
                <w:bCs w:val="false"/>
                <w:sz w:val="18"/>
                <w:szCs w:val="18"/>
              </w:rPr>
              <w:t xml:space="preserve">Rango de fechas de envío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Búsqueda libre</w:t>
            </w:r>
          </w:p>
        </w:tc>
        <w:tc>
          <w:tcPr>
            <w:tcW w:type="pct" w:w="50%"/>
            <w:tcMar>
              <w:top w:type="dxa" w:w="60"/>
              <w:left w:type="dxa" w:w="100"/>
              <w:bottom w:type="dxa" w:w="60"/>
              <w:right w:type="dxa" w:w="100"/>
            </w:tcMar>
          </w:tcPr>
          <w:p>
            <w:pPr>
              <w:spacing w:after="20" w:before="20"/>
            </w:pPr>
            <w:r>
              <w:rPr>
                <w:b w:val="false"/>
                <w:bCs w:val="false"/>
                <w:sz w:val="18"/>
                <w:szCs w:val="18"/>
              </w:rPr>
              <w:t xml:space="preserve">Busca en asunto, cuerpo, RUT, nombre, razón social, nombre de fantasía, RUT de entidad, correo y código público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Archivadas</w:t>
            </w:r>
          </w:p>
        </w:tc>
        <w:tc>
          <w:tcPr>
            <w:tcW w:type="pct" w:w="50%"/>
            <w:tcMar>
              <w:top w:type="dxa" w:w="60"/>
              <w:left w:type="dxa" w:w="100"/>
              <w:bottom w:type="dxa" w:w="60"/>
              <w:right w:type="dxa" w:w="100"/>
            </w:tcMar>
          </w:tcPr>
          <w:p>
            <w:pPr>
              <w:spacing w:after="20" w:before="20"/>
            </w:pPr>
            <w:r>
              <w:rPr>
                <w:b w:val="false"/>
                <w:bCs w:val="false"/>
                <w:sz w:val="18"/>
                <w:szCs w:val="18"/>
              </w:rPr>
              <w:t xml:space="preserve">Muestra la papelera en lugar del listado normal</w:t>
            </w:r>
          </w:p>
        </w:tc>
      </w:tr>
    </w:tbl>
    <w:p>
      <w:pPr>
        <w:spacing w:after="160"/>
      </w:pPr>
    </w:p>
    <w:p>
      <w:pPr>
        <w:spacing w:after="140" w:line="276"/>
        <w:jc w:val="both"/>
      </w:pPr>
      <w:r>
        <w:rPr>
          <w:sz w:val="21"/>
          <w:szCs w:val="21"/>
        </w:rPr>
        <w:t xml:space="preserve">Los filtros se conservan al paginar y </w:t>
      </w:r>
      <w:r>
        <w:rPr>
          <w:b/>
          <w:bCs/>
          <w:sz w:val="21"/>
          <w:szCs w:val="21"/>
        </w:rPr>
        <w:t xml:space="preserve">el archivo exportado respeta exactamente los filtros aplicados en pantalla</w:t>
      </w:r>
      <w:r>
        <w:rPr>
          <w:sz w:val="21"/>
          <w:szCs w:val="21"/>
        </w:rPr>
        <w:t xml:space="preserve">.</w:t>
      </w:r>
    </w:p>
    <w:p>
      <w:pPr>
        <w:pStyle w:val="Heading2"/>
        <w:spacing w:after="120" w:before="240"/>
      </w:pPr>
      <w:r>
        <w:rPr>
          <w:rFonts w:ascii="Calibri" w:cs="Calibri" w:eastAsia="Calibri" w:hAnsi="Calibri"/>
          <w:b/>
          <w:bCs/>
          <w:color w:val="1F3864"/>
          <w:sz w:val="25"/>
          <w:szCs w:val="25"/>
        </w:rPr>
        <w:t xml:space="preserve">6.6 Adjuntos ciudadanos</w:t>
      </w:r>
    </w:p>
    <w:p>
      <w:pPr>
        <w:spacing w:after="140" w:line="276"/>
        <w:jc w:val="both"/>
      </w:pPr>
      <w:r>
        <w:rPr>
          <w:sz w:val="21"/>
          <w:szCs w:val="21"/>
        </w:rPr>
        <w:t xml:space="preserve">El ciudadano puede adjuntar un archivo por observación, de hasta </w:t>
      </w:r>
      <w:r>
        <w:rPr>
          <w:b/>
          <w:bCs/>
          <w:sz w:val="21"/>
          <w:szCs w:val="21"/>
        </w:rPr>
        <w:t xml:space="preserve">10 MB</w:t>
      </w:r>
      <w:r>
        <w:rPr>
          <w:sz w:val="21"/>
          <w:szCs w:val="21"/>
        </w:rPr>
        <w:t xml:space="preserve">, en formatos PDF, JPG, PNG, WEBP, DOC, DOCX, XLS, XLSX, ODT, ODS o TXT.</w:t>
      </w:r>
    </w:p>
    <w:p>
      <w:pPr>
        <w:spacing w:after="140" w:line="276"/>
        <w:jc w:val="both"/>
      </w:pPr>
      <w:r>
        <w:rPr>
          <w:sz w:val="21"/>
          <w:szCs w:val="21"/>
        </w:rPr>
        <w:t xml:space="preserve">Desde la ficha de la observación se descarga </w:t>
      </w:r>
      <w:r>
        <w:rPr>
          <w:b/>
          <w:bCs/>
          <w:sz w:val="21"/>
          <w:szCs w:val="21"/>
        </w:rPr>
        <w:t xml:space="preserve">nombrado con el código público del expediente</w:t>
      </w:r>
      <w:r>
        <w:rPr>
          <w:sz w:val="21"/>
          <w:szCs w:val="21"/>
        </w:rPr>
        <w:t xml:space="preserve"> (por ejemplo </w:t>
      </w:r>
      <w:r>
        <w:rPr>
          <w:rFonts w:ascii="Consolas" w:cs="Consolas" w:eastAsia="Consolas" w:hAnsi="Consolas"/>
          <w:color w:val="A31515"/>
          <w:sz w:val="21"/>
          <w:szCs w:val="21"/>
        </w:rPr>
        <w:t xml:space="preserve">9f1c2a44-....pdf</w:t>
      </w:r>
      <w:r>
        <w:rPr>
          <w:sz w:val="21"/>
          <w:szCs w:val="21"/>
        </w:rPr>
        <w:t xml:space="preserve">), de modo que cada archivo pueda cruzarse con su fila del compendio exportado. El nombre que le puso el ciudadano se conserva en la ficha, en el compendio (columna «Archivo adjunto») y en el índice del ZIP. Igual que los antecedentes, no es un archivo público: la descarga exige sesión de funcionario.</w:t>
      </w:r>
    </w:p>
    <w:p>
      <w:pPr>
        <w:spacing w:after="140" w:line="276"/>
        <w:jc w:val="both"/>
      </w:pPr>
      <w:r>
        <w:rPr>
          <w:sz w:val="21"/>
          <w:szCs w:val="21"/>
        </w:rPr>
        <w:t xml:space="preserve">Para bajarlos todos de una vez, ver </w:t>
      </w:r>
      <w:r>
        <w:rPr>
          <w:b/>
          <w:bCs/>
          <w:sz w:val="21"/>
          <w:szCs w:val="21"/>
        </w:rPr>
        <w:t xml:space="preserve">8. Exportación de datos</w:t>
      </w:r>
      <w:r>
        <w:rPr>
          <w:sz w:val="21"/>
          <w:szCs w:val="21"/>
        </w:rPr>
        <w:t xml:space="preserve">.</w:t>
      </w:r>
    </w:p>
    <w:p>
      <w:pPr>
        <w:pStyle w:val="Heading2"/>
        <w:spacing w:after="120" w:before="240"/>
      </w:pPr>
      <w:r>
        <w:rPr>
          <w:rFonts w:ascii="Calibri" w:cs="Calibri" w:eastAsia="Calibri" w:hAnsi="Calibri"/>
          <w:b/>
          <w:bCs/>
          <w:color w:val="1F3864"/>
          <w:sz w:val="25"/>
          <w:szCs w:val="25"/>
        </w:rPr>
        <w:t xml:space="preserve">6.7 Archivar observaciones (solo super-admin)</w:t>
      </w:r>
    </w:p>
    <w:p>
      <w:pPr>
        <w:spacing w:after="140" w:line="276"/>
        <w:jc w:val="both"/>
      </w:pPr>
      <w:r>
        <w:rPr>
          <w:sz w:val="21"/>
          <w:szCs w:val="21"/>
        </w:rPr>
        <w:t xml:space="preserve">Sirve para retirar del listado y del export lo que claramente no corresponde al proceso: spam, duplicados evidentes, envíos de prueba.</w:t>
      </w:r>
    </w:p>
    <w:p>
      <w:pPr>
        <w:pStyle w:val="ListParagraph"/>
        <w:numPr>
          <w:ilvl w:val="0"/>
          <w:numId w:val="1"/>
        </w:numPr>
        <w:spacing w:after="60"/>
      </w:pPr>
      <w:r>
        <w:rPr>
          <w:sz w:val="21"/>
          <w:szCs w:val="21"/>
        </w:rPr>
        <w:t xml:space="preserve">Es </w:t>
      </w:r>
      <w:r>
        <w:rPr>
          <w:b/>
          <w:bCs/>
          <w:sz w:val="21"/>
          <w:szCs w:val="21"/>
        </w:rPr>
        <w:t xml:space="preserve">reversible</w:t>
      </w:r>
      <w:r>
        <w:rPr>
          <w:sz w:val="21"/>
          <w:szCs w:val="21"/>
        </w:rPr>
        <w:t xml:space="preserve">: se restaura desde el filtro "Archivadas".</w:t>
      </w:r>
    </w:p>
    <w:p>
      <w:pPr>
        <w:pStyle w:val="ListParagraph"/>
        <w:numPr>
          <w:ilvl w:val="0"/>
          <w:numId w:val="1"/>
        </w:numPr>
        <w:spacing w:after="60"/>
      </w:pPr>
      <w:r>
        <w:rPr>
          <w:b/>
          <w:bCs/>
          <w:sz w:val="21"/>
          <w:szCs w:val="21"/>
        </w:rPr>
        <w:t xml:space="preserve">No borra nada</w:t>
      </w:r>
      <w:r>
        <w:rPr>
          <w:sz w:val="21"/>
          <w:szCs w:val="21"/>
        </w:rPr>
        <w:t xml:space="preserve">: la observación permanece en la base de datos.</w:t>
      </w:r>
    </w:p>
    <w:p>
      <w:pPr>
        <w:pStyle w:val="ListParagraph"/>
        <w:numPr>
          <w:ilvl w:val="0"/>
          <w:numId w:val="1"/>
        </w:numPr>
        <w:spacing w:after="60"/>
      </w:pPr>
      <w:r>
        <w:rPr>
          <w:b/>
          <w:bCs/>
          <w:sz w:val="21"/>
          <w:szCs w:val="21"/>
        </w:rPr>
        <w:t xml:space="preserve">No permite editar el contenido</w:t>
      </w:r>
      <w:r>
        <w:rPr>
          <w:sz w:val="21"/>
          <w:szCs w:val="21"/>
        </w:rPr>
        <w:t xml:space="preserve">: archivar es lo único que se puede hacer</w:t>
      </w:r>
    </w:p>
    <w:p>
      <w:pPr>
        <w:spacing w:after="140" w:line="276"/>
        <w:jc w:val="both"/>
      </w:pPr>
      <w:r>
        <w:rPr>
          <w:sz w:val="21"/>
          <w:szCs w:val="21"/>
        </w:rPr>
        <w:t xml:space="preserve">sobre una observación recibida.</w:t>
      </w:r>
    </w:p>
    <w:p>
      <w:pPr>
        <w:pStyle w:val="ListParagraph"/>
        <w:numPr>
          <w:ilvl w:val="0"/>
          <w:numId w:val="1"/>
        </w:numPr>
        <w:spacing w:after="60"/>
      </w:pPr>
      <w:r>
        <w:rPr>
          <w:sz w:val="21"/>
          <w:szCs w:val="21"/>
        </w:rPr>
        <w:t xml:space="preserve">Queda registrada en la bitácora, con el usuario que la ejecutó.</w:t>
      </w:r>
    </w:p>
    <w:p>
      <w:pPr>
        <w:spacing w:after="140" w:line="276"/>
        <w:jc w:val="both"/>
      </w:pPr>
      <w:r>
        <w:rPr>
          <w:sz w:val="21"/>
          <w:szCs w:val="21"/>
        </w:rPr>
        <w:t xml:space="preserve">Criterio recomendado: ante la duda, </w:t>
      </w:r>
      <w:r>
        <w:rPr>
          <w:b/>
          <w:bCs/>
          <w:sz w:val="21"/>
          <w:szCs w:val="21"/>
        </w:rPr>
        <w:t xml:space="preserve">no archivar</w:t>
      </w:r>
      <w:r>
        <w:rPr>
          <w:sz w:val="21"/>
          <w:szCs w:val="21"/>
        </w:rPr>
        <w:t xml:space="preserve">. Una observación fuera de tema sigue siendo una observación ciudadana legítima y forma parte del expediente.</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7. Respuestas institucionales</w:t>
      </w:r>
    </w:p>
    <w:p>
      <w:pPr>
        <w:spacing w:after="140" w:line="276"/>
        <w:jc w:val="both"/>
      </w:pPr>
      <w:r>
        <w:rPr>
          <w:sz w:val="21"/>
          <w:szCs w:val="21"/>
        </w:rPr>
        <w:t xml:space="preserve">Cada observación admite </w:t>
      </w:r>
      <w:r>
        <w:rPr>
          <w:b/>
          <w:bCs/>
          <w:sz w:val="21"/>
          <w:szCs w:val="21"/>
        </w:rPr>
        <w:t xml:space="preserve">una</w:t>
      </w:r>
      <w:r>
        <w:rPr>
          <w:sz w:val="21"/>
          <w:szCs w:val="21"/>
        </w:rPr>
        <w:t xml:space="preserve"> respuesta institucional.</w:t>
      </w:r>
    </w:p>
    <w:p>
      <w:pPr>
        <w:pStyle w:val="Heading2"/>
        <w:spacing w:after="120" w:before="240"/>
      </w:pPr>
      <w:r>
        <w:rPr>
          <w:rFonts w:ascii="Calibri" w:cs="Calibri" w:eastAsia="Calibri" w:hAnsi="Calibri"/>
          <w:b/>
          <w:bCs/>
          <w:color w:val="1F3864"/>
          <w:sz w:val="25"/>
          <w:szCs w:val="25"/>
        </w:rPr>
        <w:t xml:space="preserve">7.1 Borrador y publicación</w:t>
      </w:r>
    </w:p>
    <w:p>
      <w:pPr>
        <w:spacing w:after="140" w:line="276"/>
        <w:jc w:val="both"/>
      </w:pPr>
      <w:r>
        <w:rPr>
          <w:sz w:val="21"/>
          <w:szCs w:val="21"/>
        </w:rPr>
        <w:t xml:space="preserve">El flujo tiene dos momentos deliberadamente separados:</w:t>
      </w:r>
    </w:p>
    <w:p>
      <w:pPr>
        <w:spacing w:after="60"/>
        <w:ind w:left="360" w:hanging="260"/>
      </w:pPr>
      <w:r>
        <w:rPr>
          <w:b/>
          <w:bCs/>
          <w:sz w:val="21"/>
          <w:szCs w:val="21"/>
        </w:rPr>
        <w:t xml:space="preserve">1.  </w:t>
      </w:r>
      <w:r>
        <w:rPr>
          <w:b/>
          <w:bCs/>
          <w:sz w:val="21"/>
          <w:szCs w:val="21"/>
        </w:rPr>
        <w:t xml:space="preserve">Borrador</w:t>
      </w:r>
      <w:r>
        <w:rPr>
          <w:sz w:val="21"/>
          <w:szCs w:val="21"/>
        </w:rPr>
        <w:t xml:space="preserve"> — se redacta y guarda sin que el ciudadano lo vea. Se puede</w:t>
      </w:r>
    </w:p>
    <w:p>
      <w:pPr>
        <w:spacing w:after="140" w:line="276"/>
        <w:jc w:val="both"/>
      </w:pPr>
      <w:r>
        <w:rPr>
          <w:sz w:val="21"/>
          <w:szCs w:val="21"/>
        </w:rPr>
        <w:t xml:space="preserve">editar cuantas veces sea necesario, o descartar.</w:t>
      </w:r>
    </w:p>
    <w:p>
      <w:pPr>
        <w:spacing w:after="60"/>
        <w:ind w:left="360" w:hanging="260"/>
      </w:pPr>
      <w:r>
        <w:rPr>
          <w:b/>
          <w:bCs/>
          <w:sz w:val="21"/>
          <w:szCs w:val="21"/>
        </w:rPr>
        <w:t xml:space="preserve">2.  </w:t>
      </w:r>
      <w:r>
        <w:rPr>
          <w:b/>
          <w:bCs/>
          <w:sz w:val="21"/>
          <w:szCs w:val="21"/>
        </w:rPr>
        <w:t xml:space="preserve">Publicada</w:t>
      </w:r>
      <w:r>
        <w:rPr>
          <w:sz w:val="21"/>
          <w:szCs w:val="21"/>
        </w:rPr>
        <w:t xml:space="preserve"> — se hace visible y se notifica al ciudadano por correo, al</w:t>
      </w:r>
    </w:p>
    <w:p>
      <w:pPr>
        <w:spacing w:after="140" w:line="276"/>
        <w:jc w:val="both"/>
      </w:pPr>
      <w:r>
        <w:rPr>
          <w:sz w:val="21"/>
          <w:szCs w:val="21"/>
        </w:rPr>
        <w:t xml:space="preserve">mismo que declaró al enviar su observación.</w:t>
      </w:r>
    </w:p>
    <w:p>
      <w:pPr>
        <w:spacing w:after="140" w:line="276"/>
        <w:jc w:val="both"/>
      </w:pPr>
      <w:r>
        <w:rPr>
          <w:b/>
          <w:bCs/>
          <w:sz w:val="21"/>
          <w:szCs w:val="21"/>
        </w:rPr>
        <w:t xml:space="preserve">Una respuesta publicada es inmutable:</w:t>
      </w:r>
      <w:r>
        <w:rPr>
          <w:sz w:val="21"/>
          <w:szCs w:val="21"/>
        </w:rPr>
        <w:t xml:space="preserve"> no se puede editar ni eliminar. Es una decisión de diseño para dar certeza jurídica a lo comunicado. Revisar el texto en borrador antes de publicar.</w:t>
      </w:r>
    </w:p>
    <w:p>
      <w:pPr>
        <w:pBdr>
          <w:left w:val="single" w:color="1F3864" w:sz="12" w:space="12"/>
        </w:pBdr>
        <w:spacing w:after="160" w:before="120"/>
        <w:ind w:left="360"/>
      </w:pPr>
      <w:r>
        <w:rPr>
          <w:b/>
          <w:bCs/>
          <w:i/>
          <w:iCs/>
          <w:sz w:val="20"/>
          <w:szCs w:val="20"/>
        </w:rPr>
        <w:t xml:space="preserve">Estado actual:</w:t>
      </w:r>
      <w:r>
        <w:rPr>
          <w:i/>
          <w:iCs/>
          <w:sz w:val="20"/>
          <w:szCs w:val="20"/>
        </w:rPr>
        <w:t xml:space="preserve"> mientras el envío de correo no esté habilitado (pendiente de verificación del dominio en Amazon SES), publicar una respuesta la marca como publicada y </w:t>
      </w:r>
      <w:r>
        <w:rPr>
          <w:b/>
          <w:bCs/>
          <w:i/>
          <w:iCs/>
          <w:sz w:val="20"/>
          <w:szCs w:val="20"/>
        </w:rPr>
        <w:t xml:space="preserve">registra</w:t>
      </w:r>
      <w:r>
        <w:rPr>
          <w:i/>
          <w:iCs/>
          <w:sz w:val="20"/>
          <w:szCs w:val="20"/>
        </w:rPr>
        <w:t xml:space="preserve"> la notificación en el log del servidor en lugar de enviarla. La funcionalidad está completa; solo falta activar el transporte de correo. Ver el manual de despliegue, §15.2.</w:t>
      </w:r>
    </w:p>
    <w:p>
      <w:pPr>
        <w:pStyle w:val="Heading2"/>
        <w:spacing w:after="120" w:before="240"/>
      </w:pPr>
      <w:r>
        <w:rPr>
          <w:rFonts w:ascii="Calibri" w:cs="Calibri" w:eastAsia="Calibri" w:hAnsi="Calibri"/>
          <w:b/>
          <w:bCs/>
          <w:color w:val="1F3864"/>
          <w:sz w:val="25"/>
          <w:szCs w:val="25"/>
        </w:rPr>
        <w:t xml:space="preserve">7.2 Respuesta en lote</w:t>
      </w:r>
    </w:p>
    <w:p>
      <w:pPr>
        <w:spacing w:after="140" w:line="276"/>
        <w:jc w:val="both"/>
      </w:pPr>
      <w:r>
        <w:rPr>
          <w:sz w:val="21"/>
          <w:szCs w:val="21"/>
        </w:rPr>
        <w:t xml:space="preserve">Cuando muchas observaciones plantean lo mismo, se pueden responder todas con un texto común:</w:t>
      </w:r>
    </w:p>
    <w:p>
      <w:pPr>
        <w:spacing w:after="60"/>
        <w:ind w:left="360" w:hanging="260"/>
      </w:pPr>
      <w:r>
        <w:rPr>
          <w:b/>
          <w:bCs/>
          <w:sz w:val="21"/>
          <w:szCs w:val="21"/>
        </w:rPr>
        <w:t xml:space="preserve">1.  </w:t>
      </w:r>
      <w:r>
        <w:rPr>
          <w:sz w:val="21"/>
          <w:szCs w:val="21"/>
        </w:rPr>
        <w:t xml:space="preserve">Seleccionar las observaciones en el listado.</w:t>
      </w:r>
    </w:p>
    <w:p>
      <w:pPr>
        <w:spacing w:after="60"/>
        <w:ind w:left="360" w:hanging="260"/>
      </w:pPr>
      <w:r>
        <w:rPr>
          <w:b/>
          <w:bCs/>
          <w:sz w:val="21"/>
          <w:szCs w:val="21"/>
        </w:rPr>
        <w:t xml:space="preserve">2.  </w:t>
      </w:r>
      <w:r>
        <w:rPr>
          <w:sz w:val="21"/>
          <w:szCs w:val="21"/>
        </w:rPr>
        <w:t xml:space="preserve">Usar la acción de respuesta en lote.</w:t>
      </w:r>
    </w:p>
    <w:p>
      <w:pPr>
        <w:spacing w:after="60"/>
        <w:ind w:left="360" w:hanging="260"/>
      </w:pPr>
      <w:r>
        <w:rPr>
          <w:b/>
          <w:bCs/>
          <w:sz w:val="21"/>
          <w:szCs w:val="21"/>
        </w:rPr>
        <w:t xml:space="preserve">3.  </w:t>
      </w:r>
      <w:r>
        <w:rPr>
          <w:sz w:val="21"/>
          <w:szCs w:val="21"/>
        </w:rPr>
        <w:t xml:space="preserve">Redactar el texto una sola vez y confirmar.</w:t>
      </w:r>
    </w:p>
    <w:p>
      <w:pPr>
        <w:spacing w:after="140" w:line="276"/>
        <w:jc w:val="both"/>
      </w:pPr>
      <w:r>
        <w:rPr>
          <w:sz w:val="21"/>
          <w:szCs w:val="21"/>
        </w:rPr>
        <w:t xml:space="preserve">Todas las respuestas del lote quedan vinculadas entre sí por un identificador de lote común, de modo que después se puede saber que fueron parte de la misma resolución. El formulario advierte cuáles de las observaciones seleccionadas ya tenían respuesta, para no duplicar.</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8. Exportación de datos</w:t>
      </w:r>
    </w:p>
    <w:p>
      <w:pPr>
        <w:spacing w:after="140" w:line="276"/>
        <w:jc w:val="both"/>
      </w:pPr>
      <w:r>
        <w:rPr>
          <w:sz w:val="21"/>
          <w:szCs w:val="21"/>
        </w:rPr>
        <w:t xml:space="preserve">Desde </w:t>
      </w:r>
      <w:r>
        <w:rPr>
          <w:b/>
          <w:bCs/>
          <w:sz w:val="21"/>
          <w:szCs w:val="21"/>
        </w:rPr>
        <w:t xml:space="preserve">Observaciones → Exportar</w:t>
      </w:r>
      <w:r>
        <w:rPr>
          <w:sz w:val="21"/>
          <w:szCs w:val="21"/>
        </w:rPr>
        <w:t xml:space="preserve"> se descarga el listado en </w:t>
      </w:r>
      <w:r>
        <w:rPr>
          <w:b/>
          <w:bCs/>
          <w:sz w:val="21"/>
          <w:szCs w:val="21"/>
        </w:rPr>
        <w:t xml:space="preserve">XLSX</w:t>
      </w:r>
      <w:r>
        <w:rPr>
          <w:sz w:val="21"/>
          <w:szCs w:val="21"/>
        </w:rPr>
        <w:t xml:space="preserve"> o </w:t>
      </w:r>
      <w:r>
        <w:rPr>
          <w:b/>
          <w:bCs/>
          <w:sz w:val="21"/>
          <w:szCs w:val="21"/>
        </w:rPr>
        <w:t xml:space="preserve">CSV</w:t>
      </w:r>
      <w:r>
        <w:rPr>
          <w:sz w:val="21"/>
          <w:szCs w:val="21"/>
        </w:rPr>
        <w:t xml:space="preserve">. El archivo se llama </w:t>
      </w:r>
      <w:r>
        <w:rPr>
          <w:rFonts w:ascii="Consolas" w:cs="Consolas" w:eastAsia="Consolas" w:hAnsi="Consolas"/>
          <w:color w:val="A31515"/>
          <w:sz w:val="21"/>
          <w:szCs w:val="21"/>
        </w:rPr>
        <w:t xml:space="preserve">observaciones-gore-&lt;fecha&gt;_&lt;hora&gt;.&lt;formato&gt;</w:t>
      </w:r>
      <w:r>
        <w:rPr>
          <w:sz w:val="21"/>
          <w:szCs w:val="21"/>
        </w:rPr>
        <w:t xml:space="preserve">.</w:t>
      </w:r>
    </w:p>
    <w:p>
      <w:pPr>
        <w:spacing w:after="140" w:line="276"/>
        <w:jc w:val="both"/>
      </w:pPr>
      <w:r>
        <w:rPr>
          <w:sz w:val="21"/>
          <w:szCs w:val="21"/>
        </w:rPr>
        <w:t xml:space="preserve">El export </w:t>
      </w:r>
      <w:r>
        <w:rPr>
          <w:b/>
          <w:bCs/>
          <w:sz w:val="21"/>
          <w:szCs w:val="21"/>
        </w:rPr>
        <w:t xml:space="preserve">aplica los mismos filtros que estén activos en pantalla</w:t>
      </w:r>
      <w:r>
        <w:rPr>
          <w:sz w:val="21"/>
          <w:szCs w:val="21"/>
        </w:rPr>
        <w:t xml:space="preserve">: si se filtró por un proceso y un rango de fechas, eso es lo que se exporta.</w:t>
      </w:r>
    </w:p>
    <w:p>
      <w:pPr>
        <w:spacing w:after="140" w:line="276"/>
        <w:jc w:val="both"/>
      </w:pPr>
      <w:r>
        <w:rPr>
          <w:sz w:val="21"/>
          <w:szCs w:val="21"/>
        </w:rPr>
        <w:t xml:space="preserve">Columnas del archivo:</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w:t>
            </w:r>
          </w:p>
        </w:tc>
        <w:tc>
          <w:tcPr>
            <w:tcW w:type="pct" w:w="33%"/>
            <w:shd w:fill="DCE6F1" w:val="clear"/>
            <w:tcMar>
              <w:top w:type="dxa" w:w="60"/>
              <w:left w:type="dxa" w:w="100"/>
              <w:bottom w:type="dxa" w:w="60"/>
              <w:right w:type="dxa" w:w="100"/>
            </w:tcMar>
          </w:tcPr>
          <w:p>
            <w:pPr>
              <w:spacing w:after="20" w:before="20"/>
            </w:pPr>
            <w:r>
              <w:rPr>
                <w:b/>
                <w:bCs/>
                <w:sz w:val="18"/>
                <w:szCs w:val="18"/>
              </w:rPr>
              <w:t xml:space="preserve">Columna</w:t>
            </w:r>
          </w:p>
        </w:tc>
        <w:tc>
          <w:tcPr>
            <w:tcW w:type="pct" w:w="33%"/>
            <w:shd w:fill="DCE6F1" w:val="clear"/>
            <w:tcMar>
              <w:top w:type="dxa" w:w="60"/>
              <w:left w:type="dxa" w:w="100"/>
              <w:bottom w:type="dxa" w:w="60"/>
              <w:right w:type="dxa" w:w="100"/>
            </w:tcMar>
          </w:tcPr>
          <w:p>
            <w:pPr>
              <w:spacing w:after="20" w:before="20"/>
            </w:pPr>
            <w:r>
              <w:rPr>
                <w:b/>
                <w:bCs/>
                <w:sz w:val="18"/>
                <w:szCs w:val="18"/>
              </w:rPr>
              <w:t xml:space="preserve">Contenido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1</w:t>
            </w:r>
          </w:p>
        </w:tc>
        <w:tc>
          <w:tcPr>
            <w:tcW w:type="pct" w:w="33%"/>
            <w:tcMar>
              <w:top w:type="dxa" w:w="60"/>
              <w:left w:type="dxa" w:w="100"/>
              <w:bottom w:type="dxa" w:w="60"/>
              <w:right w:type="dxa" w:w="100"/>
            </w:tcMar>
          </w:tcPr>
          <w:p>
            <w:pPr>
              <w:spacing w:after="20" w:before="20"/>
            </w:pPr>
            <w:r>
              <w:rPr>
                <w:b w:val="false"/>
                <w:bCs w:val="false"/>
                <w:sz w:val="18"/>
                <w:szCs w:val="18"/>
              </w:rPr>
              <w:t xml:space="preserve">ID</w:t>
            </w:r>
          </w:p>
        </w:tc>
        <w:tc>
          <w:tcPr>
            <w:tcW w:type="pct" w:w="33%"/>
            <w:tcMar>
              <w:top w:type="dxa" w:w="60"/>
              <w:left w:type="dxa" w:w="100"/>
              <w:bottom w:type="dxa" w:w="60"/>
              <w:right w:type="dxa" w:w="100"/>
            </w:tcMar>
          </w:tcPr>
          <w:p>
            <w:pPr>
              <w:spacing w:after="20" w:before="20"/>
            </w:pPr>
            <w:r>
              <w:rPr>
                <w:b w:val="false"/>
                <w:bCs w:val="false"/>
                <w:sz w:val="18"/>
                <w:szCs w:val="18"/>
              </w:rPr>
              <w:t xml:space="preserve">Identificador interno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2</w:t>
            </w:r>
          </w:p>
        </w:tc>
        <w:tc>
          <w:tcPr>
            <w:tcW w:type="pct" w:w="33%"/>
            <w:tcMar>
              <w:top w:type="dxa" w:w="60"/>
              <w:left w:type="dxa" w:w="100"/>
              <w:bottom w:type="dxa" w:w="60"/>
              <w:right w:type="dxa" w:w="100"/>
            </w:tcMar>
          </w:tcPr>
          <w:p>
            <w:pPr>
              <w:spacing w:after="20" w:before="20"/>
            </w:pPr>
            <w:r>
              <w:rPr>
                <w:b w:val="false"/>
                <w:bCs w:val="false"/>
                <w:sz w:val="18"/>
                <w:szCs w:val="18"/>
              </w:rPr>
              <w:t xml:space="preserve">Código público</w:t>
            </w:r>
          </w:p>
        </w:tc>
        <w:tc>
          <w:tcPr>
            <w:tcW w:type="pct" w:w="33%"/>
            <w:tcMar>
              <w:top w:type="dxa" w:w="60"/>
              <w:left w:type="dxa" w:w="100"/>
              <w:bottom w:type="dxa" w:w="60"/>
              <w:right w:type="dxa" w:w="100"/>
            </w:tcMar>
          </w:tcPr>
          <w:p>
            <w:pPr>
              <w:spacing w:after="20" w:before="20"/>
            </w:pPr>
            <w:r>
              <w:rPr>
                <w:b w:val="false"/>
                <w:bCs w:val="false"/>
                <w:sz w:val="18"/>
                <w:szCs w:val="18"/>
              </w:rPr>
              <w:t xml:space="preserve">UUID de la observación</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3</w:t>
            </w:r>
          </w:p>
        </w:tc>
        <w:tc>
          <w:tcPr>
            <w:tcW w:type="pct" w:w="33%"/>
            <w:tcMar>
              <w:top w:type="dxa" w:w="60"/>
              <w:left w:type="dxa" w:w="100"/>
              <w:bottom w:type="dxa" w:w="60"/>
              <w:right w:type="dxa" w:w="100"/>
            </w:tcMar>
          </w:tcPr>
          <w:p>
            <w:pPr>
              <w:spacing w:after="20" w:before="20"/>
            </w:pPr>
            <w:r>
              <w:rPr>
                <w:b w:val="false"/>
                <w:bCs w:val="false"/>
                <w:sz w:val="18"/>
                <w:szCs w:val="18"/>
              </w:rPr>
              <w:t xml:space="preserve">Fecha de envío</w:t>
            </w:r>
          </w:p>
        </w:tc>
        <w:tc>
          <w:tcPr>
            <w:tcW w:type="pct" w:w="33%"/>
            <w:tcMar>
              <w:top w:type="dxa" w:w="60"/>
              <w:left w:type="dxa" w:w="100"/>
              <w:bottom w:type="dxa" w:w="60"/>
              <w:right w:type="dxa" w:w="100"/>
            </w:tcMar>
          </w:tcPr>
          <w:p>
            <w:pPr>
              <w:spacing w:after="20" w:before="20"/>
            </w:pPr>
            <w:r>
              <w:rPr>
                <w:b w:val="false"/>
                <w:bCs w:val="false"/>
                <w:sz w:val="18"/>
                <w:szCs w:val="18"/>
              </w:rPr>
              <w:t xml:space="preserve">Formato </w:t>
            </w:r>
            <w:r>
              <w:rPr>
                <w:rFonts w:ascii="Consolas" w:cs="Consolas" w:eastAsia="Consolas" w:hAnsi="Consolas"/>
                <w:b w:val="false"/>
                <w:bCs w:val="false"/>
                <w:color w:val="A31515"/>
                <w:sz w:val="18"/>
                <w:szCs w:val="18"/>
              </w:rPr>
              <w:t xml:space="preserve">dd/mm/aaaa HH:mm</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4</w:t>
            </w:r>
          </w:p>
        </w:tc>
        <w:tc>
          <w:tcPr>
            <w:tcW w:type="pct" w:w="33%"/>
            <w:tcMar>
              <w:top w:type="dxa" w:w="60"/>
              <w:left w:type="dxa" w:w="100"/>
              <w:bottom w:type="dxa" w:w="60"/>
              <w:right w:type="dxa" w:w="100"/>
            </w:tcMar>
          </w:tcPr>
          <w:p>
            <w:pPr>
              <w:spacing w:after="20" w:before="20"/>
            </w:pPr>
            <w:r>
              <w:rPr>
                <w:b w:val="false"/>
                <w:bCs w:val="false"/>
                <w:sz w:val="18"/>
                <w:szCs w:val="18"/>
              </w:rPr>
              <w:t xml:space="preserve">Proceso (consulta)</w:t>
            </w:r>
          </w:p>
        </w:tc>
        <w:tc>
          <w:tcPr>
            <w:tcW w:type="pct" w:w="33%"/>
            <w:tcMar>
              <w:top w:type="dxa" w:w="60"/>
              <w:left w:type="dxa" w:w="100"/>
              <w:bottom w:type="dxa" w:w="60"/>
              <w:right w:type="dxa" w:w="100"/>
            </w:tcMar>
          </w:tcPr>
          <w:p>
            <w:pPr>
              <w:spacing w:after="20" w:before="20"/>
            </w:pPr>
            <w:r>
              <w:rPr>
                <w:b w:val="false"/>
                <w:bCs w:val="false"/>
                <w:sz w:val="18"/>
                <w:szCs w:val="18"/>
              </w:rPr>
              <w:t xml:space="preserve">Título del proceso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5</w:t>
            </w:r>
          </w:p>
        </w:tc>
        <w:tc>
          <w:tcPr>
            <w:tcW w:type="pct" w:w="33%"/>
            <w:tcMar>
              <w:top w:type="dxa" w:w="60"/>
              <w:left w:type="dxa" w:w="100"/>
              <w:bottom w:type="dxa" w:w="60"/>
              <w:right w:type="dxa" w:w="100"/>
            </w:tcMar>
          </w:tcPr>
          <w:p>
            <w:pPr>
              <w:spacing w:after="20" w:before="20"/>
            </w:pPr>
            <w:r>
              <w:rPr>
                <w:b w:val="false"/>
                <w:bCs w:val="false"/>
                <w:sz w:val="18"/>
                <w:szCs w:val="18"/>
              </w:rPr>
              <w:t xml:space="preserve">Slug del proceso</w:t>
            </w:r>
          </w:p>
        </w:tc>
        <w:tc>
          <w:tcPr>
            <w:tcW w:type="pct" w:w="33%"/>
            <w:tcMar>
              <w:top w:type="dxa" w:w="60"/>
              <w:left w:type="dxa" w:w="100"/>
              <w:bottom w:type="dxa" w:w="60"/>
              <w:right w:type="dxa" w:w="100"/>
            </w:tcMar>
          </w:tcPr>
          <w:p>
            <w:pPr>
              <w:spacing w:after="20" w:before="20"/>
            </w:pPr>
            <w:r>
              <w:rPr>
                <w:b w:val="false"/>
                <w:bCs w:val="false"/>
                <w:sz w:val="18"/>
                <w:szCs w:val="18"/>
              </w:rPr>
              <w:t xml:space="preserve">Identificador en la URL</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6</w:t>
            </w:r>
          </w:p>
        </w:tc>
        <w:tc>
          <w:tcPr>
            <w:tcW w:type="pct" w:w="33%"/>
            <w:tcMar>
              <w:top w:type="dxa" w:w="60"/>
              <w:left w:type="dxa" w:w="100"/>
              <w:bottom w:type="dxa" w:w="60"/>
              <w:right w:type="dxa" w:w="100"/>
            </w:tcMar>
          </w:tcPr>
          <w:p>
            <w:pPr>
              <w:spacing w:after="20" w:before="20"/>
            </w:pPr>
            <w:r>
              <w:rPr>
                <w:b w:val="false"/>
                <w:bCs w:val="false"/>
                <w:sz w:val="18"/>
                <w:szCs w:val="18"/>
              </w:rPr>
              <w:t xml:space="preserve">Tipo de instrumento</w:t>
            </w:r>
          </w:p>
        </w:tc>
        <w:tc>
          <w:tcPr>
            <w:tcW w:type="pct" w:w="33%"/>
            <w:tcMar>
              <w:top w:type="dxa" w:w="60"/>
              <w:left w:type="dxa" w:w="100"/>
              <w:bottom w:type="dxa" w:w="60"/>
              <w:right w:type="dxa" w:w="100"/>
            </w:tcMar>
          </w:tcPr>
          <w:p>
            <w:pPr>
              <w:spacing w:after="20" w:before="20"/>
            </w:pPr>
            <w:r>
              <w:rPr>
                <w:b w:val="false"/>
                <w:bCs w:val="false"/>
                <w:sz w:val="18"/>
                <w:szCs w:val="18"/>
              </w:rPr>
              <w:t xml:space="preserve">IPT / PROT / ZUBC / OTRO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7</w:t>
            </w:r>
          </w:p>
        </w:tc>
        <w:tc>
          <w:tcPr>
            <w:tcW w:type="pct" w:w="33%"/>
            <w:tcMar>
              <w:top w:type="dxa" w:w="60"/>
              <w:left w:type="dxa" w:w="100"/>
              <w:bottom w:type="dxa" w:w="60"/>
              <w:right w:type="dxa" w:w="100"/>
            </w:tcMar>
          </w:tcPr>
          <w:p>
            <w:pPr>
              <w:spacing w:after="20" w:before="20"/>
            </w:pPr>
            <w:r>
              <w:rPr>
                <w:b w:val="false"/>
                <w:bCs w:val="false"/>
                <w:sz w:val="18"/>
                <w:szCs w:val="18"/>
              </w:rPr>
              <w:t xml:space="preserve">Asunto</w:t>
            </w:r>
          </w:p>
        </w:tc>
        <w:tc>
          <w:tcPr>
            <w:tcW w:type="pct" w:w="33%"/>
            <w:tcMar>
              <w:top w:type="dxa" w:w="60"/>
              <w:left w:type="dxa" w:w="100"/>
              <w:bottom w:type="dxa" w:w="60"/>
              <w:right w:type="dxa" w:w="100"/>
            </w:tcMar>
          </w:tcPr>
          <w:p>
            <w:pPr>
              <w:spacing w:after="20" w:before="20"/>
            </w:pPr>
            <w:r>
              <w:rPr>
                <w:b w:val="false"/>
                <w:bCs w:val="false"/>
                <w:sz w:val="18"/>
                <w:szCs w:val="18"/>
              </w:rPr>
              <w:t xml:space="preserve">Asunto declarado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8</w:t>
            </w:r>
          </w:p>
        </w:tc>
        <w:tc>
          <w:tcPr>
            <w:tcW w:type="pct" w:w="33%"/>
            <w:tcMar>
              <w:top w:type="dxa" w:w="60"/>
              <w:left w:type="dxa" w:w="100"/>
              <w:bottom w:type="dxa" w:w="60"/>
              <w:right w:type="dxa" w:w="100"/>
            </w:tcMar>
          </w:tcPr>
          <w:p>
            <w:pPr>
              <w:spacing w:after="20" w:before="20"/>
            </w:pPr>
            <w:r>
              <w:rPr>
                <w:b w:val="false"/>
                <w:bCs w:val="false"/>
                <w:sz w:val="18"/>
                <w:szCs w:val="18"/>
              </w:rPr>
              <w:t xml:space="preserve">Categoría</w:t>
            </w:r>
          </w:p>
        </w:tc>
        <w:tc>
          <w:tcPr>
            <w:tcW w:type="pct" w:w="33%"/>
            <w:tcMar>
              <w:top w:type="dxa" w:w="60"/>
              <w:left w:type="dxa" w:w="100"/>
              <w:bottom w:type="dxa" w:w="60"/>
              <w:right w:type="dxa" w:w="100"/>
            </w:tcMar>
          </w:tcPr>
          <w:p>
            <w:pPr>
              <w:spacing w:after="20" w:before="20"/>
            </w:pPr>
            <w:r>
              <w:rPr>
                <w:b w:val="false"/>
                <w:bCs w:val="false"/>
                <w:sz w:val="18"/>
                <w:szCs w:val="18"/>
              </w:rPr>
              <w:t xml:space="preserve">Tema</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9</w:t>
            </w:r>
          </w:p>
        </w:tc>
        <w:tc>
          <w:tcPr>
            <w:tcW w:type="pct" w:w="33%"/>
            <w:tcMar>
              <w:top w:type="dxa" w:w="60"/>
              <w:left w:type="dxa" w:w="100"/>
              <w:bottom w:type="dxa" w:w="60"/>
              <w:right w:type="dxa" w:w="100"/>
            </w:tcMar>
          </w:tcPr>
          <w:p>
            <w:pPr>
              <w:spacing w:after="20" w:before="20"/>
            </w:pPr>
            <w:r>
              <w:rPr>
                <w:b w:val="false"/>
                <w:bCs w:val="false"/>
                <w:sz w:val="18"/>
                <w:szCs w:val="18"/>
              </w:rPr>
              <w:t xml:space="preserve">Cuerpo de la observación</w:t>
            </w:r>
          </w:p>
        </w:tc>
        <w:tc>
          <w:tcPr>
            <w:tcW w:type="pct" w:w="33%"/>
            <w:tcMar>
              <w:top w:type="dxa" w:w="60"/>
              <w:left w:type="dxa" w:w="100"/>
              <w:bottom w:type="dxa" w:w="60"/>
              <w:right w:type="dxa" w:w="100"/>
            </w:tcMar>
          </w:tcPr>
          <w:p>
            <w:pPr>
              <w:spacing w:after="20" w:before="20"/>
            </w:pPr>
            <w:r>
              <w:rPr>
                <w:b w:val="false"/>
                <w:bCs w:val="false"/>
                <w:sz w:val="18"/>
                <w:szCs w:val="18"/>
              </w:rPr>
              <w:t xml:space="preserve">Texto completo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10</w:t>
            </w:r>
          </w:p>
        </w:tc>
        <w:tc>
          <w:tcPr>
            <w:tcW w:type="pct" w:w="33%"/>
            <w:tcMar>
              <w:top w:type="dxa" w:w="60"/>
              <w:left w:type="dxa" w:w="100"/>
              <w:bottom w:type="dxa" w:w="60"/>
              <w:right w:type="dxa" w:w="100"/>
            </w:tcMar>
          </w:tcPr>
          <w:p>
            <w:pPr>
              <w:spacing w:after="20" w:before="20"/>
            </w:pPr>
            <w:r>
              <w:rPr>
                <w:b w:val="false"/>
                <w:bCs w:val="false"/>
                <w:sz w:val="18"/>
                <w:szCs w:val="18"/>
              </w:rPr>
              <w:t xml:space="preserve">Método de identificación</w:t>
            </w:r>
          </w:p>
        </w:tc>
        <w:tc>
          <w:tcPr>
            <w:tcW w:type="pct" w:w="33%"/>
            <w:tcMar>
              <w:top w:type="dxa" w:w="60"/>
              <w:left w:type="dxa" w:w="100"/>
              <w:bottom w:type="dxa" w:w="60"/>
              <w:right w:type="dxa" w:w="100"/>
            </w:tcMar>
          </w:tcPr>
          <w:p>
            <w:pPr>
              <w:spacing w:after="20" w:before="20"/>
            </w:pPr>
            <w:r>
              <w:rPr>
                <w:b w:val="false"/>
                <w:bCs w:val="false"/>
                <w:sz w:val="18"/>
                <w:szCs w:val="18"/>
              </w:rPr>
              <w:t xml:space="preserve">ClaveÚnica / Sin registro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11</w:t>
            </w:r>
          </w:p>
        </w:tc>
        <w:tc>
          <w:tcPr>
            <w:tcW w:type="pct" w:w="33%"/>
            <w:tcMar>
              <w:top w:type="dxa" w:w="60"/>
              <w:left w:type="dxa" w:w="100"/>
              <w:bottom w:type="dxa" w:w="60"/>
              <w:right w:type="dxa" w:w="100"/>
            </w:tcMar>
          </w:tcPr>
          <w:p>
            <w:pPr>
              <w:spacing w:after="20" w:before="20"/>
            </w:pPr>
            <w:r>
              <w:rPr>
                <w:b w:val="false"/>
                <w:bCs w:val="false"/>
                <w:sz w:val="18"/>
                <w:szCs w:val="18"/>
              </w:rPr>
              <w:t xml:space="preserve">Tipo de participante</w:t>
            </w:r>
          </w:p>
        </w:tc>
        <w:tc>
          <w:tcPr>
            <w:tcW w:type="pct" w:w="33%"/>
            <w:tcMar>
              <w:top w:type="dxa" w:w="60"/>
              <w:left w:type="dxa" w:w="100"/>
              <w:bottom w:type="dxa" w:w="60"/>
              <w:right w:type="dxa" w:w="100"/>
            </w:tcMar>
          </w:tcPr>
          <w:p>
            <w:pPr>
              <w:spacing w:after="20" w:before="20"/>
            </w:pPr>
            <w:r>
              <w:rPr>
                <w:b w:val="false"/>
                <w:bCs w:val="false"/>
                <w:sz w:val="18"/>
                <w:szCs w:val="18"/>
              </w:rPr>
              <w:t xml:space="preserve">Persona Natural / Persona Jurídica / Organización sin PJ</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12</w:t>
            </w:r>
          </w:p>
        </w:tc>
        <w:tc>
          <w:tcPr>
            <w:tcW w:type="pct" w:w="33%"/>
            <w:tcMar>
              <w:top w:type="dxa" w:w="60"/>
              <w:left w:type="dxa" w:w="100"/>
              <w:bottom w:type="dxa" w:w="60"/>
              <w:right w:type="dxa" w:w="100"/>
            </w:tcMar>
          </w:tcPr>
          <w:p>
            <w:pPr>
              <w:spacing w:after="20" w:before="20"/>
            </w:pPr>
            <w:r>
              <w:rPr>
                <w:b w:val="false"/>
                <w:bCs w:val="false"/>
                <w:sz w:val="18"/>
                <w:szCs w:val="18"/>
              </w:rPr>
              <w:t xml:space="preserve">RUT (persona o entidad)</w:t>
            </w:r>
          </w:p>
        </w:tc>
        <w:tc>
          <w:tcPr>
            <w:tcW w:type="pct" w:w="33%"/>
            <w:tcMar>
              <w:top w:type="dxa" w:w="60"/>
              <w:left w:type="dxa" w:w="100"/>
              <w:bottom w:type="dxa" w:w="60"/>
              <w:right w:type="dxa" w:w="100"/>
            </w:tcMar>
          </w:tcPr>
          <w:p>
            <w:pPr>
              <w:spacing w:after="20" w:before="20"/>
            </w:pPr>
            <w:r>
              <w:rPr>
                <w:b w:val="false"/>
                <w:bCs w:val="false"/>
                <w:sz w:val="18"/>
                <w:szCs w:val="18"/>
              </w:rPr>
              <w:t xml:space="preserve">RUT o pasaporte de la persona, o RUT de la entidad</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13</w:t>
            </w:r>
          </w:p>
        </w:tc>
        <w:tc>
          <w:tcPr>
            <w:tcW w:type="pct" w:w="33%"/>
            <w:tcMar>
              <w:top w:type="dxa" w:w="60"/>
              <w:left w:type="dxa" w:w="100"/>
              <w:bottom w:type="dxa" w:w="60"/>
              <w:right w:type="dxa" w:w="100"/>
            </w:tcMar>
          </w:tcPr>
          <w:p>
            <w:pPr>
              <w:spacing w:after="20" w:before="20"/>
            </w:pPr>
            <w:r>
              <w:rPr>
                <w:b w:val="false"/>
                <w:bCs w:val="false"/>
                <w:sz w:val="18"/>
                <w:szCs w:val="18"/>
              </w:rPr>
              <w:t xml:space="preserve">Nombre / Razón social</w:t>
            </w:r>
          </w:p>
        </w:tc>
        <w:tc>
          <w:tcPr>
            <w:tcW w:type="pct" w:w="33%"/>
            <w:tcMar>
              <w:top w:type="dxa" w:w="60"/>
              <w:left w:type="dxa" w:w="100"/>
              <w:bottom w:type="dxa" w:w="60"/>
              <w:right w:type="dxa" w:w="100"/>
            </w:tcMar>
          </w:tcPr>
          <w:p>
            <w:pPr>
              <w:spacing w:after="20" w:before="20"/>
            </w:pPr>
            <w:r>
              <w:rPr>
                <w:b w:val="false"/>
                <w:bCs w:val="false"/>
                <w:sz w:val="18"/>
                <w:szCs w:val="18"/>
              </w:rPr>
              <w:t xml:space="preserve">Nombre de la persona o razón social</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14</w:t>
            </w:r>
          </w:p>
        </w:tc>
        <w:tc>
          <w:tcPr>
            <w:tcW w:type="pct" w:w="33%"/>
            <w:tcMar>
              <w:top w:type="dxa" w:w="60"/>
              <w:left w:type="dxa" w:w="100"/>
              <w:bottom w:type="dxa" w:w="60"/>
              <w:right w:type="dxa" w:w="100"/>
            </w:tcMar>
          </w:tcPr>
          <w:p>
            <w:pPr>
              <w:spacing w:after="20" w:before="20"/>
            </w:pPr>
            <w:r>
              <w:rPr>
                <w:b w:val="false"/>
                <w:bCs w:val="false"/>
                <w:sz w:val="18"/>
                <w:szCs w:val="18"/>
              </w:rPr>
              <w:t xml:space="preserve">Nombre de fantasía</w:t>
            </w:r>
          </w:p>
        </w:tc>
        <w:tc>
          <w:tcPr>
            <w:tcW w:type="pct" w:w="33%"/>
            <w:tcMar>
              <w:top w:type="dxa" w:w="60"/>
              <w:left w:type="dxa" w:w="100"/>
              <w:bottom w:type="dxa" w:w="60"/>
              <w:right w:type="dxa" w:w="100"/>
            </w:tcMar>
          </w:tcPr>
          <w:p>
            <w:pPr>
              <w:spacing w:after="20" w:before="20"/>
            </w:pPr>
            <w:r>
              <w:rPr>
                <w:b w:val="false"/>
                <w:bCs w:val="false"/>
                <w:sz w:val="18"/>
                <w:szCs w:val="18"/>
              </w:rPr>
              <w:t xml:space="preserve">Solo PJ y organizaciones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15</w:t>
            </w:r>
          </w:p>
        </w:tc>
        <w:tc>
          <w:tcPr>
            <w:tcW w:type="pct" w:w="33%"/>
            <w:tcMar>
              <w:top w:type="dxa" w:w="60"/>
              <w:left w:type="dxa" w:w="100"/>
              <w:bottom w:type="dxa" w:w="60"/>
              <w:right w:type="dxa" w:w="100"/>
            </w:tcMar>
          </w:tcPr>
          <w:p>
            <w:pPr>
              <w:spacing w:after="20" w:before="20"/>
            </w:pPr>
            <w:r>
              <w:rPr>
                <w:b w:val="false"/>
                <w:bCs w:val="false"/>
                <w:sz w:val="18"/>
                <w:szCs w:val="18"/>
              </w:rPr>
              <w:t xml:space="preserve">Correo</w:t>
            </w:r>
          </w:p>
        </w:tc>
        <w:tc>
          <w:tcPr>
            <w:tcW w:type="pct" w:w="33%"/>
            <w:tcMar>
              <w:top w:type="dxa" w:w="60"/>
              <w:left w:type="dxa" w:w="100"/>
              <w:bottom w:type="dxa" w:w="60"/>
              <w:right w:type="dxa" w:w="100"/>
            </w:tcMar>
          </w:tcPr>
          <w:p>
            <w:pPr>
              <w:spacing w:after="20" w:before="20"/>
            </w:pPr>
            <w:r>
              <w:rPr>
                <w:b w:val="false"/>
                <w:bCs w:val="false"/>
                <w:sz w:val="18"/>
                <w:szCs w:val="18"/>
              </w:rPr>
              <w:t xml:space="preserve">Correo declarado al enviar</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16</w:t>
            </w:r>
          </w:p>
        </w:tc>
        <w:tc>
          <w:tcPr>
            <w:tcW w:type="pct" w:w="33%"/>
            <w:tcMar>
              <w:top w:type="dxa" w:w="60"/>
              <w:left w:type="dxa" w:w="100"/>
              <w:bottom w:type="dxa" w:w="60"/>
              <w:right w:type="dxa" w:w="100"/>
            </w:tcMar>
          </w:tcPr>
          <w:p>
            <w:pPr>
              <w:spacing w:after="20" w:before="20"/>
            </w:pPr>
            <w:r>
              <w:rPr>
                <w:b w:val="false"/>
                <w:bCs w:val="false"/>
                <w:sz w:val="18"/>
                <w:szCs w:val="18"/>
              </w:rPr>
              <w:t xml:space="preserve">Archivo adjunto</w:t>
            </w:r>
          </w:p>
        </w:tc>
        <w:tc>
          <w:tcPr>
            <w:tcW w:type="pct" w:w="33%"/>
            <w:tcMar>
              <w:top w:type="dxa" w:w="60"/>
              <w:left w:type="dxa" w:w="100"/>
              <w:bottom w:type="dxa" w:w="60"/>
              <w:right w:type="dxa" w:w="100"/>
            </w:tcMar>
          </w:tcPr>
          <w:p>
            <w:pPr>
              <w:spacing w:after="20" w:before="20"/>
            </w:pPr>
            <w:r>
              <w:rPr>
                <w:b w:val="false"/>
                <w:bCs w:val="false"/>
                <w:sz w:val="18"/>
                <w:szCs w:val="18"/>
              </w:rPr>
              <w:t xml:space="preserve">Nombre original del archivo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17</w:t>
            </w:r>
          </w:p>
        </w:tc>
        <w:tc>
          <w:tcPr>
            <w:tcW w:type="pct" w:w="33%"/>
            <w:tcMar>
              <w:top w:type="dxa" w:w="60"/>
              <w:left w:type="dxa" w:w="100"/>
              <w:bottom w:type="dxa" w:w="60"/>
              <w:right w:type="dxa" w:w="100"/>
            </w:tcMar>
          </w:tcPr>
          <w:p>
            <w:pPr>
              <w:spacing w:after="20" w:before="20"/>
            </w:pPr>
            <w:r>
              <w:rPr>
                <w:b w:val="false"/>
                <w:bCs w:val="false"/>
                <w:sz w:val="18"/>
                <w:szCs w:val="18"/>
              </w:rPr>
              <w:t xml:space="preserve">Descarga del adjunto</w:t>
            </w:r>
          </w:p>
        </w:tc>
        <w:tc>
          <w:tcPr>
            <w:tcW w:type="pct" w:w="33%"/>
            <w:tcMar>
              <w:top w:type="dxa" w:w="60"/>
              <w:left w:type="dxa" w:w="100"/>
              <w:bottom w:type="dxa" w:w="60"/>
              <w:right w:type="dxa" w:w="100"/>
            </w:tcMar>
          </w:tcPr>
          <w:p>
            <w:pPr>
              <w:spacing w:after="20" w:before="20"/>
            </w:pPr>
            <w:r>
              <w:rPr>
                <w:b w:val="false"/>
                <w:bCs w:val="false"/>
                <w:sz w:val="18"/>
                <w:szCs w:val="18"/>
              </w:rPr>
              <w:t xml:space="preserve">Enlace al backoffice (requiere sesión de funcionario)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18</w:t>
            </w:r>
          </w:p>
        </w:tc>
        <w:tc>
          <w:tcPr>
            <w:tcW w:type="pct" w:w="33%"/>
            <w:tcMar>
              <w:top w:type="dxa" w:w="60"/>
              <w:left w:type="dxa" w:w="100"/>
              <w:bottom w:type="dxa" w:w="60"/>
              <w:right w:type="dxa" w:w="100"/>
            </w:tcMar>
          </w:tcPr>
          <w:p>
            <w:pPr>
              <w:spacing w:after="20" w:before="20"/>
            </w:pPr>
            <w:r>
              <w:rPr>
                <w:b w:val="false"/>
                <w:bCs w:val="false"/>
                <w:sz w:val="18"/>
                <w:szCs w:val="18"/>
              </w:rPr>
              <w:t xml:space="preserve">IP de origen</w:t>
            </w:r>
          </w:p>
        </w:tc>
        <w:tc>
          <w:tcPr>
            <w:tcW w:type="pct" w:w="33%"/>
            <w:tcMar>
              <w:top w:type="dxa" w:w="60"/>
              <w:left w:type="dxa" w:w="100"/>
              <w:bottom w:type="dxa" w:w="60"/>
              <w:right w:type="dxa" w:w="100"/>
            </w:tcMar>
          </w:tcPr>
          <w:p>
            <w:pPr>
              <w:spacing w:after="20" w:before="20"/>
            </w:pPr>
            <w:r>
              <w:rPr>
                <w:b w:val="false"/>
                <w:bCs w:val="false"/>
                <w:sz w:val="18"/>
                <w:szCs w:val="18"/>
              </w:rPr>
              <w:t xml:space="preserve">Dirección desde la que se envió</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19</w:t>
            </w:r>
          </w:p>
        </w:tc>
        <w:tc>
          <w:tcPr>
            <w:tcW w:type="pct" w:w="33%"/>
            <w:tcMar>
              <w:top w:type="dxa" w:w="60"/>
              <w:left w:type="dxa" w:w="100"/>
              <w:bottom w:type="dxa" w:w="60"/>
              <w:right w:type="dxa" w:w="100"/>
            </w:tcMar>
          </w:tcPr>
          <w:p>
            <w:pPr>
              <w:spacing w:after="20" w:before="20"/>
            </w:pPr>
            <w:r>
              <w:rPr>
                <w:b w:val="false"/>
                <w:bCs w:val="false"/>
                <w:sz w:val="18"/>
                <w:szCs w:val="18"/>
              </w:rPr>
              <w:t xml:space="preserve">Navegador</w:t>
            </w:r>
          </w:p>
        </w:tc>
        <w:tc>
          <w:tcPr>
            <w:tcW w:type="pct" w:w="33%"/>
            <w:tcMar>
              <w:top w:type="dxa" w:w="60"/>
              <w:left w:type="dxa" w:w="100"/>
              <w:bottom w:type="dxa" w:w="60"/>
              <w:right w:type="dxa" w:w="100"/>
            </w:tcMar>
          </w:tcPr>
          <w:p>
            <w:pPr>
              <w:spacing w:after="20" w:before="20"/>
            </w:pPr>
            <w:r>
              <w:rPr>
                <w:b w:val="false"/>
                <w:bCs w:val="false"/>
                <w:sz w:val="18"/>
                <w:szCs w:val="18"/>
              </w:rPr>
              <w:t xml:space="preserve">User-agent del navegador</w:t>
            </w:r>
          </w:p>
        </w:tc>
      </w:tr>
    </w:tbl>
    <w:p>
      <w:pPr>
        <w:spacing w:after="160"/>
      </w:pPr>
    </w:p>
    <w:p>
      <w:pPr>
        <w:spacing w:after="140" w:line="276"/>
        <w:jc w:val="both"/>
      </w:pPr>
      <w:r>
        <w:rPr>
          <w:sz w:val="21"/>
          <w:szCs w:val="21"/>
        </w:rPr>
        <w:t xml:space="preserve">La exportación procesa los registros por bloques, de modo que funciona sin problemas con volúmenes altos.</w:t>
      </w:r>
    </w:p>
    <w:p>
      <w:pPr>
        <w:pStyle w:val="Heading2"/>
        <w:spacing w:after="120" w:before="240"/>
      </w:pPr>
      <w:r>
        <w:rPr>
          <w:rFonts w:ascii="Calibri" w:cs="Calibri" w:eastAsia="Calibri" w:hAnsi="Calibri"/>
          <w:b/>
          <w:bCs/>
          <w:color w:val="1F3864"/>
          <w:sz w:val="25"/>
          <w:szCs w:val="25"/>
        </w:rPr>
        <w:t xml:space="preserve">Descarga masiva de adjuntos (ZIP)</w:t>
      </w:r>
    </w:p>
    <w:p>
      <w:pPr>
        <w:spacing w:after="140" w:line="276"/>
        <w:jc w:val="both"/>
      </w:pPr>
      <w:r>
        <w:rPr>
          <w:sz w:val="21"/>
          <w:szCs w:val="21"/>
        </w:rPr>
        <w:t xml:space="preserve">En el mismo menú </w:t>
      </w:r>
      <w:r>
        <w:rPr>
          <w:b/>
          <w:bCs/>
          <w:sz w:val="21"/>
          <w:szCs w:val="21"/>
        </w:rPr>
        <w:t xml:space="preserve">Observaciones → Exportar</w:t>
      </w:r>
      <w:r>
        <w:rPr>
          <w:sz w:val="21"/>
          <w:szCs w:val="21"/>
        </w:rPr>
        <w:t xml:space="preserve"> está la opción </w:t>
      </w:r>
      <w:r>
        <w:rPr>
          <w:b/>
          <w:bCs/>
          <w:sz w:val="21"/>
          <w:szCs w:val="21"/>
        </w:rPr>
        <w:t xml:space="preserve">Adjuntos en ZIP</w:t>
      </w:r>
      <w:r>
        <w:rPr>
          <w:sz w:val="21"/>
          <w:szCs w:val="21"/>
        </w:rPr>
        <w:t xml:space="preserve">, que baja de una sola vez todos los archivos adjuntos de las observaciones filtradas. El archivo se llama </w:t>
      </w:r>
      <w:r>
        <w:rPr>
          <w:rFonts w:ascii="Consolas" w:cs="Consolas" w:eastAsia="Consolas" w:hAnsi="Consolas"/>
          <w:color w:val="A31515"/>
          <w:sz w:val="21"/>
          <w:szCs w:val="21"/>
        </w:rPr>
        <w:t xml:space="preserve">observaciones-adjuntos-&lt;fecha&gt;_&lt;hora&gt;.zip</w:t>
      </w:r>
      <w:r>
        <w:rPr>
          <w:sz w:val="21"/>
          <w:szCs w:val="21"/>
        </w:rPr>
        <w:t xml:space="preserve"> y contiene:</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Dentro del ZIP</w:t>
            </w:r>
          </w:p>
        </w:tc>
        <w:tc>
          <w:tcPr>
            <w:tcW w:type="pct" w:w="50%"/>
            <w:shd w:fill="DCE6F1" w:val="clear"/>
            <w:tcMar>
              <w:top w:type="dxa" w:w="60"/>
              <w:left w:type="dxa" w:w="100"/>
              <w:bottom w:type="dxa" w:w="60"/>
              <w:right w:type="dxa" w:w="100"/>
            </w:tcMar>
          </w:tcPr>
          <w:p>
            <w:pPr>
              <w:spacing w:after="20" w:before="20"/>
            </w:pPr>
            <w:r>
              <w:rPr>
                <w:b/>
                <w:bCs/>
                <w:sz w:val="18"/>
                <w:szCs w:val="18"/>
              </w:rPr>
              <w:t xml:space="preserve">Qué es</w:t>
            </w:r>
          </w:p>
        </w:tc>
      </w:tr>
      <w:tr>
        <w:trPr>
          <w:tblHeader w:val="false"/>
        </w:trPr>
        <w:tc>
          <w:tcPr>
            <w:tcW w:type="pct" w:w="50%"/>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adjuntos/</w:t>
            </w:r>
          </w:p>
        </w:tc>
        <w:tc>
          <w:tcPr>
            <w:tcW w:type="pct" w:w="50%"/>
            <w:tcMar>
              <w:top w:type="dxa" w:w="60"/>
              <w:left w:type="dxa" w:w="100"/>
              <w:bottom w:type="dxa" w:w="60"/>
              <w:right w:type="dxa" w:w="100"/>
            </w:tcMar>
          </w:tcPr>
          <w:p>
            <w:pPr>
              <w:spacing w:after="20" w:before="20"/>
            </w:pPr>
            <w:r>
              <w:rPr>
                <w:b w:val="false"/>
                <w:bCs w:val="false"/>
                <w:sz w:val="18"/>
                <w:szCs w:val="18"/>
              </w:rPr>
              <w:t xml:space="preserve">Un archivo por observación, nombrado con el </w:t>
            </w:r>
            <w:r>
              <w:rPr>
                <w:b w:val="false"/>
                <w:bCs w:val="false"/>
                <w:sz w:val="18"/>
                <w:szCs w:val="18"/>
              </w:rPr>
              <w:t xml:space="preserve">código público del expediente</w:t>
            </w:r>
            <w:r>
              <w:rPr>
                <w:b w:val="false"/>
                <w:bCs w:val="false"/>
                <w:sz w:val="18"/>
                <w:szCs w:val="18"/>
              </w:rPr>
              <w:t xml:space="preserve"> (</w:t>
            </w:r>
            <w:r>
              <w:rPr>
                <w:rFonts w:ascii="Consolas" w:cs="Consolas" w:eastAsia="Consolas" w:hAnsi="Consolas"/>
                <w:b w:val="false"/>
                <w:bCs w:val="false"/>
                <w:color w:val="A31515"/>
                <w:sz w:val="18"/>
                <w:szCs w:val="18"/>
              </w:rPr>
              <w:t xml:space="preserve">&lt;uuid&gt;.&lt;extensión&gt;</w:t>
            </w:r>
            <w:r>
              <w:rPr>
                <w:b w:val="false"/>
                <w:bCs w:val="false"/>
                <w:sz w:val="18"/>
                <w:szCs w:val="18"/>
              </w:rPr>
              <w:t xml:space="preserve">)</w:t>
            </w:r>
          </w:p>
        </w:tc>
      </w:tr>
      <w:tr>
        <w:trPr>
          <w:tblHeader w:val="false"/>
        </w:trPr>
        <w:tc>
          <w:tcPr>
            <w:tcW w:type="pct" w:w="50%"/>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indice.csv</w:t>
            </w:r>
          </w:p>
        </w:tc>
        <w:tc>
          <w:tcPr>
            <w:tcW w:type="pct" w:w="50%"/>
            <w:tcMar>
              <w:top w:type="dxa" w:w="60"/>
              <w:left w:type="dxa" w:w="100"/>
              <w:bottom w:type="dxa" w:w="60"/>
              <w:right w:type="dxa" w:w="100"/>
            </w:tcMar>
          </w:tcPr>
          <w:p>
            <w:pPr>
              <w:spacing w:after="20" w:before="20"/>
            </w:pPr>
            <w:r>
              <w:rPr>
                <w:b w:val="false"/>
                <w:bCs w:val="false"/>
                <w:sz w:val="18"/>
                <w:szCs w:val="18"/>
              </w:rPr>
              <w:t xml:space="preserve">Tabla que amarra cada archivo con su expediente: nombre en el ZIP, código público, fecha de envío, proceso, participante y nombre original del archivo</w:t>
            </w:r>
          </w:p>
        </w:tc>
      </w:tr>
      <w:tr>
        <w:trPr>
          <w:tblHeader w:val="false"/>
        </w:trPr>
        <w:tc>
          <w:tcPr>
            <w:tcW w:type="pct" w:w="50%"/>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compendio-observaciones.xlsx</w:t>
            </w:r>
          </w:p>
        </w:tc>
        <w:tc>
          <w:tcPr>
            <w:tcW w:type="pct" w:w="50%"/>
            <w:tcMar>
              <w:top w:type="dxa" w:w="60"/>
              <w:left w:type="dxa" w:w="100"/>
              <w:bottom w:type="dxa" w:w="60"/>
              <w:right w:type="dxa" w:w="100"/>
            </w:tcMar>
          </w:tcPr>
          <w:p>
            <w:pPr>
              <w:spacing w:after="20" w:before="20"/>
            </w:pPr>
            <w:r>
              <w:rPr>
                <w:b w:val="false"/>
                <w:bCs w:val="false"/>
                <w:sz w:val="18"/>
                <w:szCs w:val="18"/>
              </w:rPr>
              <w:t xml:space="preserve">El mismo compendio de la sección anterior, con los mismos filtros</w:t>
            </w:r>
          </w:p>
        </w:tc>
      </w:tr>
    </w:tbl>
    <w:p>
      <w:pPr>
        <w:spacing w:after="160"/>
      </w:pPr>
    </w:p>
    <w:p>
      <w:pPr>
        <w:spacing w:after="140" w:line="276"/>
        <w:jc w:val="both"/>
      </w:pPr>
      <w:r>
        <w:rPr>
          <w:sz w:val="21"/>
          <w:szCs w:val="21"/>
        </w:rPr>
        <w:t xml:space="preserve">El ZIP </w:t>
      </w:r>
      <w:r>
        <w:rPr>
          <w:b/>
          <w:bCs/>
          <w:sz w:val="21"/>
          <w:szCs w:val="21"/>
        </w:rPr>
        <w:t xml:space="preserve">usa exactamente los mismos filtros que el compendio</w:t>
      </w:r>
      <w:r>
        <w:rPr>
          <w:sz w:val="21"/>
          <w:szCs w:val="21"/>
        </w:rPr>
        <w:t xml:space="preserve">: lo que se baja en XLSX y lo que se baja en ZIP son siempre el mismo conjunto de observaciones. Las observaciones sin adjunto aparecen en el compendio, pero no aportan archivos.</w:t>
      </w:r>
    </w:p>
    <w:p>
      <w:pPr>
        <w:spacing w:after="140" w:line="276"/>
        <w:jc w:val="both"/>
      </w:pPr>
      <w:r>
        <w:rPr>
          <w:sz w:val="21"/>
          <w:szCs w:val="21"/>
        </w:rPr>
        <w:t xml:space="preserve">Para no dejar la descarga colgada, cada ZIP admite hasta </w:t>
      </w:r>
      <w:r>
        <w:rPr>
          <w:b/>
          <w:bCs/>
          <w:sz w:val="21"/>
          <w:szCs w:val="21"/>
        </w:rPr>
        <w:t xml:space="preserve">300 archivos</w:t>
      </w:r>
      <w:r>
        <w:rPr>
          <w:sz w:val="21"/>
          <w:szCs w:val="21"/>
        </w:rPr>
        <w:t xml:space="preserve"> o </w:t>
      </w:r>
      <w:r>
        <w:rPr>
          <w:b/>
          <w:bCs/>
          <w:sz w:val="21"/>
          <w:szCs w:val="21"/>
        </w:rPr>
        <w:t xml:space="preserve">300 MB</w:t>
      </w:r>
      <w:r>
        <w:rPr>
          <w:sz w:val="21"/>
          <w:szCs w:val="21"/>
        </w:rPr>
        <w:t xml:space="preserve">. Si el filtro activo supera ese límite, la plataforma lo avisa en pantalla y basta con acotar por proceso o por rango de fechas.</w:t>
      </w:r>
    </w:p>
    <w:p>
      <w:pPr>
        <w:pBdr>
          <w:left w:val="single" w:color="1F3864" w:sz="12" w:space="12"/>
        </w:pBdr>
        <w:spacing w:after="160" w:before="120"/>
        <w:ind w:left="360"/>
      </w:pPr>
      <w:r>
        <w:rPr>
          <w:i/>
          <w:iCs/>
          <w:sz w:val="20"/>
          <w:szCs w:val="20"/>
        </w:rPr>
        <w:t xml:space="preserve">Tanto el compendio como el ZIP contienen datos personales de los participantes. Tratarlos conforme a la normativa de protección de datos: no publicarlos íntegros ni distribuirlos por canales no institucionales.</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9. Gestión de funcionarios</w:t>
      </w:r>
    </w:p>
    <w:p>
      <w:pPr>
        <w:spacing w:after="140" w:line="276"/>
        <w:jc w:val="both"/>
      </w:pPr>
      <w:r>
        <w:rPr>
          <w:sz w:val="21"/>
          <w:szCs w:val="21"/>
        </w:rPr>
        <w:t xml:space="preserve">Solo el </w:t>
      </w:r>
      <w:r>
        <w:rPr>
          <w:b/>
          <w:bCs/>
          <w:sz w:val="21"/>
          <w:szCs w:val="21"/>
        </w:rPr>
        <w:t xml:space="preserve">super-admin</w:t>
      </w:r>
      <w:r>
        <w:rPr>
          <w:sz w:val="21"/>
          <w:szCs w:val="21"/>
        </w:rPr>
        <w:t xml:space="preserve"> accede a </w:t>
      </w:r>
      <w:r>
        <w:rPr>
          <w:b/>
          <w:bCs/>
          <w:sz w:val="21"/>
          <w:szCs w:val="21"/>
        </w:rPr>
        <w:t xml:space="preserve">Funcionarios</w:t>
      </w:r>
      <w:r>
        <w:rPr>
          <w:sz w:val="21"/>
          <w:szCs w:val="21"/>
        </w:rPr>
        <w:t xml:space="preserve">.</w:t>
      </w:r>
    </w:p>
    <w:p>
      <w:pPr>
        <w:pStyle w:val="Heading2"/>
        <w:spacing w:after="120" w:before="240"/>
      </w:pPr>
      <w:r>
        <w:rPr>
          <w:rFonts w:ascii="Calibri" w:cs="Calibri" w:eastAsia="Calibri" w:hAnsi="Calibri"/>
          <w:b/>
          <w:bCs/>
          <w:color w:val="1F3864"/>
          <w:sz w:val="25"/>
          <w:szCs w:val="25"/>
        </w:rPr>
        <w:t xml:space="preserve">9.1 Crear una cuenta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Campo</w:t>
            </w:r>
          </w:p>
        </w:tc>
        <w:tc>
          <w:tcPr>
            <w:tcW w:type="pct" w:w="33%"/>
            <w:shd w:fill="DCE6F1" w:val="clear"/>
            <w:tcMar>
              <w:top w:type="dxa" w:w="60"/>
              <w:left w:type="dxa" w:w="100"/>
              <w:bottom w:type="dxa" w:w="60"/>
              <w:right w:type="dxa" w:w="100"/>
            </w:tcMar>
          </w:tcPr>
          <w:p>
            <w:pPr>
              <w:spacing w:after="20" w:before="20"/>
            </w:pPr>
            <w:r>
              <w:rPr>
                <w:b/>
                <w:bCs/>
                <w:sz w:val="18"/>
                <w:szCs w:val="18"/>
              </w:rPr>
              <w:t xml:space="preserve">Obligatorio</w:t>
            </w:r>
          </w:p>
        </w:tc>
        <w:tc>
          <w:tcPr>
            <w:tcW w:type="pct" w:w="33%"/>
            <w:shd w:fill="DCE6F1" w:val="clear"/>
            <w:tcMar>
              <w:top w:type="dxa" w:w="60"/>
              <w:left w:type="dxa" w:w="100"/>
              <w:bottom w:type="dxa" w:w="60"/>
              <w:right w:type="dxa" w:w="100"/>
            </w:tcMar>
          </w:tcPr>
          <w:p>
            <w:pPr>
              <w:spacing w:after="20" w:before="20"/>
            </w:pPr>
            <w:r>
              <w:rPr>
                <w:b/>
                <w:bCs/>
                <w:sz w:val="18"/>
                <w:szCs w:val="18"/>
              </w:rPr>
              <w:t xml:space="preserve">Validación</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RUT</w:t>
            </w:r>
          </w:p>
        </w:tc>
        <w:tc>
          <w:tcPr>
            <w:tcW w:type="pct" w:w="33%"/>
            <w:tcMar>
              <w:top w:type="dxa" w:w="60"/>
              <w:left w:type="dxa" w:w="100"/>
              <w:bottom w:type="dxa" w:w="60"/>
              <w:right w:type="dxa" w:w="100"/>
            </w:tcMar>
          </w:tcPr>
          <w:p>
            <w:pPr>
              <w:spacing w:after="20" w:before="20"/>
            </w:pPr>
            <w:r>
              <w:rPr>
                <w:b w:val="false"/>
                <w:bCs w:val="false"/>
                <w:sz w:val="18"/>
                <w:szCs w:val="18"/>
              </w:rPr>
              <w:t xml:space="preserve">Sí</w:t>
            </w:r>
          </w:p>
        </w:tc>
        <w:tc>
          <w:tcPr>
            <w:tcW w:type="pct" w:w="33%"/>
            <w:tcMar>
              <w:top w:type="dxa" w:w="60"/>
              <w:left w:type="dxa" w:w="100"/>
              <w:bottom w:type="dxa" w:w="60"/>
              <w:right w:type="dxa" w:w="100"/>
            </w:tcMar>
          </w:tcPr>
          <w:p>
            <w:pPr>
              <w:spacing w:after="20" w:before="20"/>
            </w:pPr>
            <w:r>
              <w:rPr>
                <w:b w:val="false"/>
                <w:bCs w:val="false"/>
                <w:sz w:val="18"/>
                <w:szCs w:val="18"/>
              </w:rPr>
              <w:t xml:space="preserve">Se valida el dígito verificador y se normaliza el formato. No puede repetirse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Nombre</w:t>
            </w:r>
          </w:p>
        </w:tc>
        <w:tc>
          <w:tcPr>
            <w:tcW w:type="pct" w:w="33%"/>
            <w:tcMar>
              <w:top w:type="dxa" w:w="60"/>
              <w:left w:type="dxa" w:w="100"/>
              <w:bottom w:type="dxa" w:w="60"/>
              <w:right w:type="dxa" w:w="100"/>
            </w:tcMar>
          </w:tcPr>
          <w:p>
            <w:pPr>
              <w:spacing w:after="20" w:before="20"/>
            </w:pPr>
            <w:r>
              <w:rPr>
                <w:b w:val="false"/>
                <w:bCs w:val="false"/>
                <w:sz w:val="18"/>
                <w:szCs w:val="18"/>
              </w:rPr>
              <w:t xml:space="preserve">Sí</w:t>
            </w:r>
          </w:p>
        </w:tc>
        <w:tc>
          <w:tcPr>
            <w:tcW w:type="pct" w:w="33%"/>
            <w:tcMar>
              <w:top w:type="dxa" w:w="60"/>
              <w:left w:type="dxa" w:w="100"/>
              <w:bottom w:type="dxa" w:w="60"/>
              <w:right w:type="dxa" w:w="100"/>
            </w:tcMar>
          </w:tcPr>
          <w:p>
            <w:pPr>
              <w:spacing w:after="20" w:before="20"/>
            </w:pPr>
            <w:r>
              <w:rPr>
                <w:b w:val="false"/>
                <w:bCs w:val="false"/>
                <w:sz w:val="18"/>
                <w:szCs w:val="18"/>
              </w:rPr>
              <w:t xml:space="preserve">Máx. 100 caracteres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Apellido</w:t>
            </w:r>
          </w:p>
        </w:tc>
        <w:tc>
          <w:tcPr>
            <w:tcW w:type="pct" w:w="33%"/>
            <w:tcMar>
              <w:top w:type="dxa" w:w="60"/>
              <w:left w:type="dxa" w:w="100"/>
              <w:bottom w:type="dxa" w:w="60"/>
              <w:right w:type="dxa" w:w="100"/>
            </w:tcMar>
          </w:tcPr>
          <w:p>
            <w:pPr>
              <w:spacing w:after="20" w:before="20"/>
            </w:pPr>
            <w:r>
              <w:rPr>
                <w:b w:val="false"/>
                <w:bCs w:val="false"/>
                <w:sz w:val="18"/>
                <w:szCs w:val="18"/>
              </w:rPr>
              <w:t xml:space="preserve">Sí</w:t>
            </w:r>
          </w:p>
        </w:tc>
        <w:tc>
          <w:tcPr>
            <w:tcW w:type="pct" w:w="33%"/>
            <w:tcMar>
              <w:top w:type="dxa" w:w="60"/>
              <w:left w:type="dxa" w:w="100"/>
              <w:bottom w:type="dxa" w:w="60"/>
              <w:right w:type="dxa" w:w="100"/>
            </w:tcMar>
          </w:tcPr>
          <w:p>
            <w:pPr>
              <w:spacing w:after="20" w:before="20"/>
            </w:pPr>
            <w:r>
              <w:rPr>
                <w:b w:val="false"/>
                <w:bCs w:val="false"/>
                <w:sz w:val="18"/>
                <w:szCs w:val="18"/>
              </w:rPr>
              <w:t xml:space="preserve">Máx. 100 caracteres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Correo</w:t>
            </w:r>
          </w:p>
        </w:tc>
        <w:tc>
          <w:tcPr>
            <w:tcW w:type="pct" w:w="33%"/>
            <w:tcMar>
              <w:top w:type="dxa" w:w="60"/>
              <w:left w:type="dxa" w:w="100"/>
              <w:bottom w:type="dxa" w:w="60"/>
              <w:right w:type="dxa" w:w="100"/>
            </w:tcMar>
          </w:tcPr>
          <w:p>
            <w:pPr>
              <w:spacing w:after="20" w:before="20"/>
            </w:pPr>
            <w:r>
              <w:rPr>
                <w:b w:val="false"/>
                <w:bCs w:val="false"/>
                <w:sz w:val="18"/>
                <w:szCs w:val="18"/>
              </w:rPr>
              <w:t xml:space="preserve">Sí</w:t>
            </w:r>
          </w:p>
        </w:tc>
        <w:tc>
          <w:tcPr>
            <w:tcW w:type="pct" w:w="33%"/>
            <w:tcMar>
              <w:top w:type="dxa" w:w="60"/>
              <w:left w:type="dxa" w:w="100"/>
              <w:bottom w:type="dxa" w:w="60"/>
              <w:right w:type="dxa" w:w="100"/>
            </w:tcMar>
          </w:tcPr>
          <w:p>
            <w:pPr>
              <w:spacing w:after="20" w:before="20"/>
            </w:pPr>
            <w:r>
              <w:rPr>
                <w:b w:val="false"/>
                <w:bCs w:val="false"/>
                <w:sz w:val="18"/>
                <w:szCs w:val="18"/>
              </w:rPr>
              <w:t xml:space="preserve">Formato válido y único en el sistema</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Teléfono</w:t>
            </w:r>
          </w:p>
        </w:tc>
        <w:tc>
          <w:tcPr>
            <w:tcW w:type="pct" w:w="33%"/>
            <w:tcMar>
              <w:top w:type="dxa" w:w="60"/>
              <w:left w:type="dxa" w:w="100"/>
              <w:bottom w:type="dxa" w:w="60"/>
              <w:right w:type="dxa" w:w="100"/>
            </w:tcMar>
          </w:tcPr>
          <w:p>
            <w:pPr>
              <w:spacing w:after="20" w:before="20"/>
            </w:pPr>
            <w:r>
              <w:rPr>
                <w:b w:val="false"/>
                <w:bCs w:val="false"/>
                <w:sz w:val="18"/>
                <w:szCs w:val="18"/>
              </w:rPr>
              <w:t xml:space="preserve">No</w:t>
            </w:r>
          </w:p>
        </w:tc>
        <w:tc>
          <w:tcPr>
            <w:tcW w:type="pct" w:w="33%"/>
            <w:tcMar>
              <w:top w:type="dxa" w:w="60"/>
              <w:left w:type="dxa" w:w="100"/>
              <w:bottom w:type="dxa" w:w="60"/>
              <w:right w:type="dxa" w:w="100"/>
            </w:tcMar>
          </w:tcPr>
          <w:p>
            <w:pPr>
              <w:spacing w:after="20" w:before="20"/>
            </w:pPr>
            <w:r>
              <w:rPr>
                <w:b w:val="false"/>
                <w:bCs w:val="false"/>
                <w:sz w:val="18"/>
                <w:szCs w:val="18"/>
              </w:rPr>
              <w:t xml:space="preserve">Máx. 20 caracteres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Contraseña</w:t>
            </w:r>
          </w:p>
        </w:tc>
        <w:tc>
          <w:tcPr>
            <w:tcW w:type="pct" w:w="33%"/>
            <w:tcMar>
              <w:top w:type="dxa" w:w="60"/>
              <w:left w:type="dxa" w:w="100"/>
              <w:bottom w:type="dxa" w:w="60"/>
              <w:right w:type="dxa" w:w="100"/>
            </w:tcMar>
          </w:tcPr>
          <w:p>
            <w:pPr>
              <w:spacing w:after="20" w:before="20"/>
            </w:pPr>
            <w:r>
              <w:rPr>
                <w:b w:val="false"/>
                <w:bCs w:val="false"/>
                <w:sz w:val="18"/>
                <w:szCs w:val="18"/>
              </w:rPr>
              <w:t xml:space="preserve">Sí</w:t>
            </w:r>
          </w:p>
        </w:tc>
        <w:tc>
          <w:tcPr>
            <w:tcW w:type="pct" w:w="33%"/>
            <w:tcMar>
              <w:top w:type="dxa" w:w="60"/>
              <w:left w:type="dxa" w:w="100"/>
              <w:bottom w:type="dxa" w:w="60"/>
              <w:right w:type="dxa" w:w="100"/>
            </w:tcMar>
          </w:tcPr>
          <w:p>
            <w:pPr>
              <w:spacing w:after="20" w:before="20"/>
            </w:pPr>
            <w:r>
              <w:rPr>
                <w:b w:val="false"/>
                <w:bCs w:val="false"/>
                <w:sz w:val="18"/>
                <w:szCs w:val="18"/>
              </w:rPr>
              <w:t xml:space="preserve">Mínimo 8 caracteres, con confirmación</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Rol</w:t>
            </w:r>
          </w:p>
        </w:tc>
        <w:tc>
          <w:tcPr>
            <w:tcW w:type="pct" w:w="33%"/>
            <w:tcMar>
              <w:top w:type="dxa" w:w="60"/>
              <w:left w:type="dxa" w:w="100"/>
              <w:bottom w:type="dxa" w:w="60"/>
              <w:right w:type="dxa" w:w="100"/>
            </w:tcMar>
          </w:tcPr>
          <w:p>
            <w:pPr>
              <w:spacing w:after="20" w:before="20"/>
            </w:pPr>
            <w:r>
              <w:rPr>
                <w:b w:val="false"/>
                <w:bCs w:val="false"/>
                <w:sz w:val="18"/>
                <w:szCs w:val="18"/>
              </w:rPr>
              <w:t xml:space="preserve">Sí</w:t>
            </w:r>
          </w:p>
        </w:tc>
        <w:tc>
          <w:tcPr>
            <w:tcW w:type="pct" w:w="33%"/>
            <w:tcMar>
              <w:top w:type="dxa" w:w="60"/>
              <w:left w:type="dxa" w:w="100"/>
              <w:bottom w:type="dxa" w:w="60"/>
              <w:right w:type="dxa" w:w="100"/>
            </w:tcMar>
          </w:tcPr>
          <w:p>
            <w:pPr>
              <w:spacing w:after="20" w:before="20"/>
            </w:pPr>
            <w:r>
              <w:rPr>
                <w:b w:val="false"/>
                <w:bCs w:val="false"/>
                <w:sz w:val="18"/>
                <w:szCs w:val="18"/>
              </w:rPr>
              <w:t xml:space="preserve">Funcionario o Super-admin</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Activo</w:t>
            </w:r>
          </w:p>
        </w:tc>
        <w:tc>
          <w:tcPr>
            <w:tcW w:type="pct" w:w="33%"/>
            <w:tcMar>
              <w:top w:type="dxa" w:w="60"/>
              <w:left w:type="dxa" w:w="100"/>
              <w:bottom w:type="dxa" w:w="60"/>
              <w:right w:type="dxa" w:w="100"/>
            </w:tcMar>
          </w:tcPr>
          <w:p>
            <w:pPr>
              <w:spacing w:after="20" w:before="20"/>
            </w:pPr>
            <w:r>
              <w:rPr>
                <w:b w:val="false"/>
                <w:bCs w:val="false"/>
                <w:sz w:val="18"/>
                <w:szCs w:val="18"/>
              </w:rPr>
              <w:t xml:space="preserve">No</w:t>
            </w:r>
          </w:p>
        </w:tc>
        <w:tc>
          <w:tcPr>
            <w:tcW w:type="pct" w:w="33%"/>
            <w:tcMar>
              <w:top w:type="dxa" w:w="60"/>
              <w:left w:type="dxa" w:w="100"/>
              <w:bottom w:type="dxa" w:w="60"/>
              <w:right w:type="dxa" w:w="100"/>
            </w:tcMar>
          </w:tcPr>
          <w:p>
            <w:pPr>
              <w:spacing w:after="20" w:before="20"/>
            </w:pPr>
            <w:r>
              <w:rPr>
                <w:b w:val="false"/>
                <w:bCs w:val="false"/>
                <w:sz w:val="18"/>
                <w:szCs w:val="18"/>
              </w:rPr>
              <w:t xml:space="preserve">Activo por defecto</w:t>
            </w:r>
          </w:p>
        </w:tc>
      </w:tr>
    </w:tbl>
    <w:p>
      <w:pPr>
        <w:spacing w:after="160"/>
      </w:pPr>
    </w:p>
    <w:p>
      <w:pPr>
        <w:spacing w:after="140" w:line="276"/>
        <w:jc w:val="both"/>
      </w:pPr>
      <w:r>
        <w:rPr>
          <w:sz w:val="21"/>
          <w:szCs w:val="21"/>
        </w:rPr>
        <w:t xml:space="preserve">Las cuentas creadas desde aquí quedan </w:t>
      </w:r>
      <w:r>
        <w:rPr>
          <w:b/>
          <w:bCs/>
          <w:sz w:val="21"/>
          <w:szCs w:val="21"/>
        </w:rPr>
        <w:t xml:space="preserve">verificadas de inmediato</w:t>
      </w:r>
      <w:r>
        <w:rPr>
          <w:sz w:val="21"/>
          <w:szCs w:val="21"/>
        </w:rPr>
        <w:t xml:space="preserve">: se asume que el super-admin ya validó la identidad de la persona y le entrega las credenciales directamente.</w:t>
      </w:r>
    </w:p>
    <w:p>
      <w:pPr>
        <w:pStyle w:val="Heading2"/>
        <w:spacing w:after="120" w:before="240"/>
      </w:pPr>
      <w:r>
        <w:rPr>
          <w:rFonts w:ascii="Calibri" w:cs="Calibri" w:eastAsia="Calibri" w:hAnsi="Calibri"/>
          <w:b/>
          <w:bCs/>
          <w:color w:val="1F3864"/>
          <w:sz w:val="25"/>
          <w:szCs w:val="25"/>
        </w:rPr>
        <w:t xml:space="preserve">9.2 Activar y desactivar</w:t>
      </w:r>
    </w:p>
    <w:p>
      <w:pPr>
        <w:spacing w:after="140" w:line="276"/>
        <w:jc w:val="both"/>
      </w:pPr>
      <w:r>
        <w:rPr>
          <w:sz w:val="21"/>
          <w:szCs w:val="21"/>
        </w:rPr>
        <w:t xml:space="preserve">El interruptor </w:t>
      </w:r>
      <w:r>
        <w:rPr>
          <w:b/>
          <w:bCs/>
          <w:sz w:val="21"/>
          <w:szCs w:val="21"/>
        </w:rPr>
        <w:t xml:space="preserve">Activo/Inactivo</w:t>
      </w:r>
      <w:r>
        <w:rPr>
          <w:sz w:val="21"/>
          <w:szCs w:val="21"/>
        </w:rPr>
        <w:t xml:space="preserve"> habilita o bloquea el ingreso sin borrar la cuenta. Es la forma correcta de dar de baja a un funcionario: conserva la trazabilidad de todo lo que hizo mientras estuvo a cargo.</w:t>
      </w:r>
    </w:p>
    <w:p>
      <w:pPr>
        <w:pStyle w:val="Heading2"/>
        <w:spacing w:after="120" w:before="240"/>
      </w:pPr>
      <w:r>
        <w:rPr>
          <w:rFonts w:ascii="Calibri" w:cs="Calibri" w:eastAsia="Calibri" w:hAnsi="Calibri"/>
          <w:b/>
          <w:bCs/>
          <w:color w:val="1F3864"/>
          <w:sz w:val="25"/>
          <w:szCs w:val="25"/>
        </w:rPr>
        <w:t xml:space="preserve">9.3 Filtros</w:t>
      </w:r>
    </w:p>
    <w:p>
      <w:pPr>
        <w:spacing w:after="140" w:line="276"/>
        <w:jc w:val="both"/>
      </w:pPr>
      <w:r>
        <w:rPr>
          <w:sz w:val="21"/>
          <w:szCs w:val="21"/>
        </w:rPr>
        <w:t xml:space="preserve">El listado permite filtrar por rol y por estado (activo / inactivo), y buscar por nombre, apellido, correo o RUT. Muestra únicamente personal: los ciudadanos no aparecen aquí.</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10. Bitácora de auditoría</w:t>
      </w:r>
    </w:p>
    <w:p>
      <w:pPr>
        <w:spacing w:after="140" w:line="276"/>
        <w:jc w:val="both"/>
      </w:pPr>
      <w:r>
        <w:rPr>
          <w:b/>
          <w:bCs/>
          <w:sz w:val="21"/>
          <w:szCs w:val="21"/>
        </w:rPr>
        <w:t xml:space="preserve">Bitácora</w:t>
      </w:r>
      <w:r>
        <w:rPr>
          <w:sz w:val="21"/>
          <w:szCs w:val="21"/>
        </w:rPr>
        <w:t xml:space="preserve"> (solo super-admin) registra automáticamente las acciones relevantes sobre el sistema. Es de </w:t>
      </w:r>
      <w:r>
        <w:rPr>
          <w:b/>
          <w:bCs/>
          <w:sz w:val="21"/>
          <w:szCs w:val="21"/>
        </w:rPr>
        <w:t xml:space="preserve">solo lectura</w:t>
      </w:r>
      <w:r>
        <w:rPr>
          <w:sz w:val="21"/>
          <w:szCs w:val="21"/>
        </w:rPr>
        <w:t xml:space="preserve">: no se puede editar ni borrar ninguna entrada.</w:t>
      </w:r>
    </w:p>
    <w:p>
      <w:pPr>
        <w:pStyle w:val="Heading2"/>
        <w:spacing w:after="120" w:before="240"/>
      </w:pPr>
      <w:r>
        <w:rPr>
          <w:rFonts w:ascii="Calibri" w:cs="Calibri" w:eastAsia="Calibri" w:hAnsi="Calibri"/>
          <w:b/>
          <w:bCs/>
          <w:color w:val="1F3864"/>
          <w:sz w:val="25"/>
          <w:szCs w:val="25"/>
        </w:rPr>
        <w:t xml:space="preserve">10.1 Qué queda registrado</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Ámbito</w:t>
            </w:r>
          </w:p>
        </w:tc>
        <w:tc>
          <w:tcPr>
            <w:tcW w:type="pct" w:w="50%"/>
            <w:shd w:fill="DCE6F1" w:val="clear"/>
            <w:tcMar>
              <w:top w:type="dxa" w:w="60"/>
              <w:left w:type="dxa" w:w="100"/>
              <w:bottom w:type="dxa" w:w="60"/>
              <w:right w:type="dxa" w:w="100"/>
            </w:tcMar>
          </w:tcPr>
          <w:p>
            <w:pPr>
              <w:spacing w:after="20" w:before="20"/>
            </w:pPr>
            <w:r>
              <w:rPr>
                <w:b/>
                <w:bCs/>
                <w:sz w:val="18"/>
                <w:szCs w:val="18"/>
              </w:rPr>
              <w:t xml:space="preserve">Se registra</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Consultas</w:t>
            </w:r>
          </w:p>
        </w:tc>
        <w:tc>
          <w:tcPr>
            <w:tcW w:type="pct" w:w="50%"/>
            <w:tcMar>
              <w:top w:type="dxa" w:w="60"/>
              <w:left w:type="dxa" w:w="100"/>
              <w:bottom w:type="dxa" w:w="60"/>
              <w:right w:type="dxa" w:w="100"/>
            </w:tcMar>
          </w:tcPr>
          <w:p>
            <w:pPr>
              <w:spacing w:after="20" w:before="20"/>
            </w:pPr>
            <w:r>
              <w:rPr>
                <w:b w:val="false"/>
                <w:bCs w:val="false"/>
                <w:sz w:val="18"/>
                <w:szCs w:val="18"/>
              </w:rPr>
              <w:t xml:space="preserve">Creación y cambios de título, slug, estado, tipo de instrumento, fechas y métodos de participación</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Antecedentes</w:t>
            </w:r>
          </w:p>
        </w:tc>
        <w:tc>
          <w:tcPr>
            <w:tcW w:type="pct" w:w="50%"/>
            <w:tcMar>
              <w:top w:type="dxa" w:w="60"/>
              <w:left w:type="dxa" w:w="100"/>
              <w:bottom w:type="dxa" w:w="60"/>
              <w:right w:type="dxa" w:w="100"/>
            </w:tcMar>
          </w:tcPr>
          <w:p>
            <w:pPr>
              <w:spacing w:after="20" w:before="20"/>
            </w:pPr>
            <w:r>
              <w:rPr>
                <w:b w:val="false"/>
                <w:bCs w:val="false"/>
                <w:sz w:val="18"/>
                <w:szCs w:val="18"/>
              </w:rPr>
              <w:t xml:space="preserve">Creación y cambios de título, nombre de archivo, versión y hash</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Observaciones</w:t>
            </w:r>
          </w:p>
        </w:tc>
        <w:tc>
          <w:tcPr>
            <w:tcW w:type="pct" w:w="50%"/>
            <w:tcMar>
              <w:top w:type="dxa" w:w="60"/>
              <w:left w:type="dxa" w:w="100"/>
              <w:bottom w:type="dxa" w:w="60"/>
              <w:right w:type="dxa" w:w="100"/>
            </w:tcMar>
          </w:tcPr>
          <w:p>
            <w:pPr>
              <w:spacing w:after="20" w:before="20"/>
            </w:pPr>
            <w:r>
              <w:rPr>
                <w:b w:val="false"/>
                <w:bCs w:val="false"/>
                <w:sz w:val="18"/>
                <w:szCs w:val="18"/>
              </w:rPr>
              <w:t xml:space="preserve">Solo la creación.</w:t>
            </w:r>
            <w:r>
              <w:rPr>
                <w:b w:val="false"/>
                <w:bCs w:val="false"/>
                <w:sz w:val="18"/>
                <w:szCs w:val="18"/>
              </w:rPr>
              <w:t xml:space="preserve"> El contenido nunca se modifica; el archivado también deja registro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Usuarios</w:t>
            </w:r>
          </w:p>
        </w:tc>
        <w:tc>
          <w:tcPr>
            <w:tcW w:type="pct" w:w="50%"/>
            <w:tcMar>
              <w:top w:type="dxa" w:w="60"/>
              <w:left w:type="dxa" w:w="100"/>
              <w:bottom w:type="dxa" w:w="60"/>
              <w:right w:type="dxa" w:w="100"/>
            </w:tcMar>
          </w:tcPr>
          <w:p>
            <w:pPr>
              <w:spacing w:after="20" w:before="20"/>
            </w:pPr>
            <w:r>
              <w:rPr>
                <w:b w:val="false"/>
                <w:bCs w:val="false"/>
                <w:sz w:val="18"/>
                <w:szCs w:val="18"/>
              </w:rPr>
              <w:t xml:space="preserve">Cambios de nombre, apellido, correo, rol y estado activo</w:t>
            </w:r>
          </w:p>
        </w:tc>
      </w:tr>
    </w:tbl>
    <w:p>
      <w:pPr>
        <w:spacing w:after="160"/>
      </w:pPr>
    </w:p>
    <w:p>
      <w:pPr>
        <w:spacing w:after="140" w:line="276"/>
        <w:jc w:val="both"/>
      </w:pPr>
      <w:r>
        <w:rPr>
          <w:b/>
          <w:bCs/>
          <w:sz w:val="21"/>
          <w:szCs w:val="21"/>
        </w:rPr>
        <w:t xml:space="preserve">Nunca se registran contraseñas ni datos sensibles.</w:t>
      </w:r>
      <w:r>
        <w:rPr>
          <w:sz w:val="21"/>
          <w:szCs w:val="21"/>
        </w:rPr>
        <w:t xml:space="preserve"> Los cambios de contraseña no se guardan en la bitácora.</w:t>
      </w:r>
    </w:p>
    <w:p>
      <w:pPr>
        <w:pStyle w:val="Heading2"/>
        <w:spacing w:after="120" w:before="240"/>
      </w:pPr>
      <w:r>
        <w:rPr>
          <w:rFonts w:ascii="Calibri" w:cs="Calibri" w:eastAsia="Calibri" w:hAnsi="Calibri"/>
          <w:b/>
          <w:bCs/>
          <w:color w:val="1F3864"/>
          <w:sz w:val="25"/>
          <w:szCs w:val="25"/>
        </w:rPr>
        <w:t xml:space="preserve">10.2 Filtros</w:t>
      </w:r>
    </w:p>
    <w:p>
      <w:pPr>
        <w:spacing w:after="140" w:line="276"/>
        <w:jc w:val="both"/>
      </w:pPr>
      <w:r>
        <w:rPr>
          <w:sz w:val="21"/>
          <w:szCs w:val="21"/>
        </w:rPr>
        <w:t xml:space="preserve">Por ámbito (consulta, documento, observación, usuario), por tipo de evento (creación, modificación, eliminación), por usuario responsable y por rango de fechas.</w:t>
      </w:r>
    </w:p>
    <w:p>
      <w:pPr>
        <w:spacing w:after="140" w:line="276"/>
        <w:jc w:val="both"/>
      </w:pPr>
      <w:r>
        <w:rPr>
          <w:sz w:val="21"/>
          <w:szCs w:val="21"/>
        </w:rPr>
        <w:t xml:space="preserve">Cada entrada muestra qué se cambió, quién lo hizo y cuándo.</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11. Qué ve el ciudadano</w:t>
      </w:r>
    </w:p>
    <w:p>
      <w:pPr>
        <w:spacing w:after="140" w:line="276"/>
        <w:jc w:val="both"/>
      </w:pPr>
      <w:r>
        <w:rPr>
          <w:sz w:val="21"/>
          <w:szCs w:val="21"/>
        </w:rPr>
        <w:t xml:space="preserve">Contexto útil para entender el efecto de la configuración del backoffice.</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Página</w:t>
            </w:r>
          </w:p>
        </w:tc>
        <w:tc>
          <w:tcPr>
            <w:tcW w:type="pct" w:w="50%"/>
            <w:shd w:fill="DCE6F1" w:val="clear"/>
            <w:tcMar>
              <w:top w:type="dxa" w:w="60"/>
              <w:left w:type="dxa" w:w="100"/>
              <w:bottom w:type="dxa" w:w="60"/>
              <w:right w:type="dxa" w:w="100"/>
            </w:tcMar>
          </w:tcPr>
          <w:p>
            <w:pPr>
              <w:spacing w:after="20" w:before="20"/>
            </w:pPr>
            <w:r>
              <w:rPr>
                <w:b/>
                <w:bCs/>
                <w:sz w:val="18"/>
                <w:szCs w:val="18"/>
              </w:rPr>
              <w:t xml:space="preserve">Contenido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Inicio</w:t>
            </w:r>
          </w:p>
        </w:tc>
        <w:tc>
          <w:tcPr>
            <w:tcW w:type="pct" w:w="50%"/>
            <w:tcMar>
              <w:top w:type="dxa" w:w="60"/>
              <w:left w:type="dxa" w:w="100"/>
              <w:bottom w:type="dxa" w:w="60"/>
              <w:right w:type="dxa" w:w="100"/>
            </w:tcMar>
          </w:tcPr>
          <w:p>
            <w:pPr>
              <w:spacing w:after="20" w:before="20"/>
            </w:pPr>
            <w:r>
              <w:rPr>
                <w:b w:val="false"/>
                <w:bCs w:val="false"/>
                <w:sz w:val="18"/>
                <w:szCs w:val="18"/>
              </w:rPr>
              <w:t xml:space="preserve">Cifras del sistema (procesos activos, observaciones recibidas, procesos cerrados) y los 3 procesos más recientes que estén publicados o activos dentro de su ventana</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Consultas</w:t>
            </w:r>
          </w:p>
        </w:tc>
        <w:tc>
          <w:tcPr>
            <w:tcW w:type="pct" w:w="50%"/>
            <w:tcMar>
              <w:top w:type="dxa" w:w="60"/>
              <w:left w:type="dxa" w:w="100"/>
              <w:bottom w:type="dxa" w:w="60"/>
              <w:right w:type="dxa" w:w="100"/>
            </w:tcMar>
          </w:tcPr>
          <w:p>
            <w:pPr>
              <w:spacing w:after="20" w:before="20"/>
            </w:pPr>
            <w:r>
              <w:rPr>
                <w:b w:val="false"/>
                <w:bCs w:val="false"/>
                <w:sz w:val="18"/>
                <w:szCs w:val="18"/>
              </w:rPr>
              <w:t xml:space="preserve">Listado de procesos con su tipo de instrumento, estado efectivo y días restantes</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Ficha del proceso</w:t>
            </w:r>
          </w:p>
        </w:tc>
        <w:tc>
          <w:tcPr>
            <w:tcW w:type="pct" w:w="50%"/>
            <w:tcMar>
              <w:top w:type="dxa" w:w="60"/>
              <w:left w:type="dxa" w:w="100"/>
              <w:bottom w:type="dxa" w:w="60"/>
              <w:right w:type="dxa" w:w="100"/>
            </w:tcMar>
          </w:tcPr>
          <w:p>
            <w:pPr>
              <w:spacing w:after="20" w:before="20"/>
            </w:pPr>
            <w:r>
              <w:rPr>
                <w:b w:val="false"/>
                <w:bCs w:val="false"/>
                <w:sz w:val="18"/>
                <w:szCs w:val="18"/>
              </w:rPr>
              <w:t xml:space="preserve">Descripción, fechas, antecedentes descargables y —si el proceso está abierto— el formulario de observaciones</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Confirmación</w:t>
            </w:r>
          </w:p>
        </w:tc>
        <w:tc>
          <w:tcPr>
            <w:tcW w:type="pct" w:w="50%"/>
            <w:tcMar>
              <w:top w:type="dxa" w:w="60"/>
              <w:left w:type="dxa" w:w="100"/>
              <w:bottom w:type="dxa" w:w="60"/>
              <w:right w:type="dxa" w:w="100"/>
            </w:tcMar>
          </w:tcPr>
          <w:p>
            <w:pPr>
              <w:spacing w:after="20" w:before="20"/>
            </w:pPr>
            <w:r>
              <w:rPr>
                <w:b w:val="false"/>
                <w:bCs w:val="false"/>
                <w:sz w:val="18"/>
                <w:szCs w:val="18"/>
              </w:rPr>
              <w:t xml:space="preserve">Tras enviar, se muestra el código público del envío como comprobante</w:t>
            </w:r>
          </w:p>
        </w:tc>
      </w:tr>
    </w:tbl>
    <w:p>
      <w:pPr>
        <w:spacing w:after="160"/>
      </w:pPr>
    </w:p>
    <w:p>
      <w:pPr>
        <w:spacing w:after="140" w:line="276"/>
        <w:jc w:val="both"/>
      </w:pPr>
      <w:r>
        <w:rPr>
          <w:sz w:val="21"/>
          <w:szCs w:val="21"/>
        </w:rPr>
        <w:t xml:space="preserve">Detalles de comportamiento que conviene conocer:</w:t>
      </w:r>
    </w:p>
    <w:p>
      <w:pPr>
        <w:pStyle w:val="ListParagraph"/>
        <w:numPr>
          <w:ilvl w:val="0"/>
          <w:numId w:val="1"/>
        </w:numPr>
        <w:spacing w:after="60"/>
      </w:pPr>
      <w:r>
        <w:rPr>
          <w:sz w:val="21"/>
          <w:szCs w:val="21"/>
        </w:rPr>
        <w:t xml:space="preserve">Los meses se muestran en español y, cuando el proceso cierra el mismo día,</w:t>
      </w:r>
    </w:p>
    <w:p>
      <w:pPr>
        <w:spacing w:after="140" w:line="276"/>
        <w:jc w:val="both"/>
      </w:pPr>
      <w:r>
        <w:rPr>
          <w:sz w:val="21"/>
          <w:szCs w:val="21"/>
        </w:rPr>
        <w:t xml:space="preserve">se indica </w:t>
      </w:r>
      <w:r>
        <w:rPr>
          <w:b/>
          <w:bCs/>
          <w:sz w:val="21"/>
          <w:szCs w:val="21"/>
        </w:rPr>
        <w:t xml:space="preserve">"Finaliza hoy"</w:t>
      </w:r>
      <w:r>
        <w:rPr>
          <w:sz w:val="21"/>
          <w:szCs w:val="21"/>
        </w:rPr>
        <w:t xml:space="preserve"> en vez de "0 días restantes".</w:t>
      </w:r>
    </w:p>
    <w:p>
      <w:pPr>
        <w:pStyle w:val="ListParagraph"/>
        <w:numPr>
          <w:ilvl w:val="0"/>
          <w:numId w:val="1"/>
        </w:numPr>
        <w:spacing w:after="60"/>
      </w:pPr>
      <w:r>
        <w:rPr>
          <w:sz w:val="21"/>
          <w:szCs w:val="21"/>
        </w:rPr>
        <w:t xml:space="preserve">En móvil, los archivos del proceso se muestran </w:t>
      </w:r>
      <w:r>
        <w:rPr>
          <w:b/>
          <w:bCs/>
          <w:sz w:val="21"/>
          <w:szCs w:val="21"/>
        </w:rPr>
        <w:t xml:space="preserve">antes</w:t>
      </w:r>
      <w:r>
        <w:rPr>
          <w:sz w:val="21"/>
          <w:szCs w:val="21"/>
        </w:rPr>
        <w:t xml:space="preserve"> del formulario, para</w:t>
      </w:r>
    </w:p>
    <w:p>
      <w:pPr>
        <w:spacing w:after="140" w:line="276"/>
        <w:jc w:val="both"/>
      </w:pPr>
      <w:r>
        <w:rPr>
          <w:sz w:val="21"/>
          <w:szCs w:val="21"/>
        </w:rPr>
        <w:t xml:space="preserve">que se lean los antecedentes antes de observar.</w:t>
      </w:r>
    </w:p>
    <w:p>
      <w:pPr>
        <w:pStyle w:val="ListParagraph"/>
        <w:numPr>
          <w:ilvl w:val="0"/>
          <w:numId w:val="1"/>
        </w:numPr>
        <w:spacing w:after="60"/>
      </w:pPr>
      <w:r>
        <w:rPr>
          <w:sz w:val="21"/>
          <w:szCs w:val="21"/>
        </w:rPr>
        <w:t xml:space="preserve">Un proceso cuya fecha de término ya pasó </w:t>
      </w:r>
      <w:r>
        <w:rPr>
          <w:b/>
          <w:bCs/>
          <w:sz w:val="21"/>
          <w:szCs w:val="21"/>
        </w:rPr>
        <w:t xml:space="preserve">nunca</w:t>
      </w:r>
      <w:r>
        <w:rPr>
          <w:sz w:val="21"/>
          <w:szCs w:val="21"/>
        </w:rPr>
        <w:t xml:space="preserve"> aparece como en curso,</w:t>
      </w:r>
    </w:p>
    <w:p>
      <w:pPr>
        <w:spacing w:after="140" w:line="276"/>
        <w:jc w:val="both"/>
      </w:pPr>
      <w:r>
        <w:rPr>
          <w:sz w:val="21"/>
          <w:szCs w:val="21"/>
        </w:rPr>
        <w:t xml:space="preserve">aunque su estado almacenado siga siendo </w:t>
      </w:r>
      <w:r>
        <w:rPr>
          <w:i/>
          <w:iCs/>
          <w:sz w:val="21"/>
          <w:szCs w:val="21"/>
        </w:rPr>
        <w:t xml:space="preserve">Activa</w:t>
      </w:r>
      <w:r>
        <w:rPr>
          <w:sz w:val="21"/>
          <w:szCs w:val="21"/>
        </w:rPr>
        <w:t xml:space="preserve">.</w:t>
      </w:r>
    </w:p>
    <w:p>
      <w:pPr>
        <w:pStyle w:val="ListParagraph"/>
        <w:numPr>
          <w:ilvl w:val="0"/>
          <w:numId w:val="1"/>
        </w:numPr>
        <w:spacing w:after="60"/>
      </w:pPr>
      <w:r>
        <w:rPr>
          <w:sz w:val="21"/>
          <w:szCs w:val="21"/>
        </w:rPr>
        <w:t xml:space="preserve">Un ciudadano que participó sin registro puede volver a su comprobante con el</w:t>
      </w:r>
    </w:p>
    <w:p>
      <w:pPr>
        <w:spacing w:after="140" w:line="276"/>
        <w:jc w:val="both"/>
      </w:pPr>
      <w:r>
        <w:rPr>
          <w:sz w:val="21"/>
          <w:szCs w:val="21"/>
        </w:rPr>
        <w:t xml:space="preserve">enlace que recibió; ese enlace lleva un código secreto y no es adivinable.</w:t>
      </w:r>
    </w:p>
    <w:p>
      <w:pPr>
        <w:spacing w:after="140" w:line="276"/>
        <w:jc w:val="both"/>
      </w:pPr>
      <w:r>
        <w:rPr>
          <w:sz w:val="21"/>
          <w:szCs w:val="21"/>
        </w:rPr>
        <w:t xml:space="preserve">Límite anti-abuso: un máximo de </w:t>
      </w:r>
      <w:r>
        <w:rPr>
          <w:b/>
          <w:bCs/>
          <w:sz w:val="21"/>
          <w:szCs w:val="21"/>
        </w:rPr>
        <w:t xml:space="preserve">5 envíos por minuto</w:t>
      </w:r>
      <w:r>
        <w:rPr>
          <w:sz w:val="21"/>
          <w:szCs w:val="21"/>
        </w:rPr>
        <w:t xml:space="preserve"> desde una misma dirección IP.</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12. Preguntas frecuentes</w:t>
      </w:r>
    </w:p>
    <w:p>
      <w:pPr>
        <w:spacing w:after="140" w:line="276"/>
        <w:jc w:val="both"/>
      </w:pPr>
      <w:r>
        <w:rPr>
          <w:b/>
          <w:bCs/>
          <w:sz w:val="21"/>
          <w:szCs w:val="21"/>
        </w:rPr>
        <w:t xml:space="preserve">¿Puedo corregir el texto de una observación mal escrita por el ciudadano?</w:t>
      </w:r>
      <w:r>
        <w:rPr>
          <w:sz w:val="21"/>
          <w:szCs w:val="21"/>
        </w:rPr>
        <w:t xml:space="preserve"> No. El contenido de una observación es inalterable por diseño. Si es spam o una prueba, un super-admin puede archivarla; si el ciudadano quiere corregir, debe enviar una nueva observación mientras el proceso siga abierto.</w:t>
      </w:r>
    </w:p>
    <w:p>
      <w:pPr>
        <w:spacing w:after="140" w:line="276"/>
        <w:jc w:val="both"/>
      </w:pPr>
      <w:r>
        <w:rPr>
          <w:b/>
          <w:bCs/>
          <w:sz w:val="21"/>
          <w:szCs w:val="21"/>
        </w:rPr>
        <w:t xml:space="preserve">¿Puedo eliminar definitivamente una consulta?</w:t>
      </w:r>
      <w:r>
        <w:rPr>
          <w:sz w:val="21"/>
          <w:szCs w:val="21"/>
        </w:rPr>
        <w:t xml:space="preserve"> No desde la interfaz. Archivar la retira de la vista conservando el expediente completo, que es lo que corresponde a un proceso reglado.</w:t>
      </w:r>
    </w:p>
    <w:p>
      <w:pPr>
        <w:spacing w:after="140" w:line="276"/>
        <w:jc w:val="both"/>
      </w:pPr>
      <w:r>
        <w:rPr>
          <w:b/>
          <w:bCs/>
          <w:sz w:val="21"/>
          <w:szCs w:val="21"/>
        </w:rPr>
        <w:t xml:space="preserve">¿Qué pasa si publico una respuesta con un error?</w:t>
      </w:r>
      <w:r>
        <w:rPr>
          <w:sz w:val="21"/>
          <w:szCs w:val="21"/>
        </w:rPr>
        <w:t xml:space="preserve"> Una respuesta publicada no se puede editar ni borrar. Revisar siempre en borrador antes de publicar. Si ya se publicó, corresponde emitir una comunicación complementaria por la vía institucional que el GORE defina.</w:t>
      </w:r>
    </w:p>
    <w:p>
      <w:pPr>
        <w:spacing w:after="140" w:line="276"/>
        <w:jc w:val="both"/>
      </w:pPr>
      <w:r>
        <w:rPr>
          <w:b/>
          <w:bCs/>
          <w:sz w:val="21"/>
          <w:szCs w:val="21"/>
        </w:rPr>
        <w:t xml:space="preserve">Cerré la consulta antes de tiempo por error, ¿se perdieron observaciones?</w:t>
      </w:r>
      <w:r>
        <w:rPr>
          <w:sz w:val="21"/>
          <w:szCs w:val="21"/>
        </w:rPr>
        <w:t xml:space="preserve"> No. Cambiar el estado no borra nada. Al reabrirla —ajustando estado y fechas— vuelve a recibir observaciones y las anteriores siguen ahí.</w:t>
      </w:r>
    </w:p>
    <w:p>
      <w:pPr>
        <w:spacing w:after="140" w:line="276"/>
        <w:jc w:val="both"/>
      </w:pPr>
      <w:r>
        <w:rPr>
          <w:b/>
          <w:bCs/>
          <w:sz w:val="21"/>
          <w:szCs w:val="21"/>
        </w:rPr>
        <w:t xml:space="preserve">¿Por qué una consulta configurada con ClaveÚnica no acepta observaciones?</w:t>
      </w:r>
      <w:r>
        <w:rPr>
          <w:sz w:val="21"/>
          <w:szCs w:val="21"/>
        </w:rPr>
        <w:t xml:space="preserve"> Porque la integración con ClaveÚnica está desactivada a nivel de sistema mientras el GORE no complete el registro del cliente OIDC. Habilitar "Sin registro" en esa consulta mientras tanto. Ver §4.3.</w:t>
      </w:r>
    </w:p>
    <w:p>
      <w:pPr>
        <w:spacing w:after="140" w:line="276"/>
        <w:jc w:val="both"/>
      </w:pPr>
      <w:r>
        <w:rPr>
          <w:b/>
          <w:bCs/>
          <w:sz w:val="21"/>
          <w:szCs w:val="21"/>
        </w:rPr>
        <w:t xml:space="preserve">¿Por qué el ciudadano no recibe el correo con la respuesta?</w:t>
      </w:r>
      <w:r>
        <w:rPr>
          <w:sz w:val="21"/>
          <w:szCs w:val="21"/>
        </w:rPr>
        <w:t xml:space="preserve"> Porque el transporte de correo aún no está habilitado (pendiente de verificación del dominio en Amazon SES). La respuesta queda publicada y registrada; solo falta activar el envío. Ver §7.1.</w:t>
      </w:r>
    </w:p>
    <w:p>
      <w:pPr>
        <w:spacing w:after="140" w:line="276"/>
        <w:jc w:val="both"/>
      </w:pPr>
      <w:r>
        <w:rPr>
          <w:b/>
          <w:bCs/>
          <w:sz w:val="21"/>
          <w:szCs w:val="21"/>
        </w:rPr>
        <w:t xml:space="preserve">¿Cuántos archivos puede adjuntar un ciudadano?</w:t>
      </w:r>
      <w:r>
        <w:rPr>
          <w:sz w:val="21"/>
          <w:szCs w:val="21"/>
        </w:rPr>
        <w:t xml:space="preserve"> Uno por observación, de hasta 10 MB. Como puede enviar hasta 20 observaciones en una participación, puede acompañar hasta 20 archivos en un mismo trámite.</w:t>
      </w:r>
    </w:p>
    <w:p>
      <w:pPr>
        <w:spacing w:after="140" w:line="276"/>
        <w:jc w:val="both"/>
      </w:pPr>
      <w:r>
        <w:rPr>
          <w:b/>
          <w:bCs/>
          <w:sz w:val="21"/>
          <w:szCs w:val="21"/>
        </w:rPr>
        <w:t xml:space="preserve">¿Se pierden los datos si falla el servidor?</w:t>
      </w:r>
      <w:r>
        <w:rPr>
          <w:sz w:val="21"/>
          <w:szCs w:val="21"/>
        </w:rPr>
        <w:t xml:space="preserve"> No. La base de datos tiene respaldos automáticos con 7 días de retención, los archivos viven en almacenamiento redundante de AWS y, adicionalmente, cada 48 horas se genera un respaldo en planilla de las observaciones de los procesos activos.</w:t>
      </w:r>
    </w:p>
    <w:p>
      <w:pPr>
        <w:spacing w:after="140" w:line="276"/>
        <w:jc w:val="both"/>
      </w:pPr>
      <w:r>
        <w:rPr>
          <w:b/>
          <w:bCs/>
          <w:sz w:val="21"/>
          <w:szCs w:val="21"/>
        </w:rPr>
        <w:t xml:space="preserve">¿Cómo verifico que un antecedente publicado es el mismo que subí?</w:t>
      </w:r>
      <w:r>
        <w:rPr>
          <w:sz w:val="21"/>
          <w:szCs w:val="21"/>
        </w:rPr>
        <w:t xml:space="preserve"> Cada documento guarda su hash SHA-256 al momento de la carga. El equipo técnico puede comparar ese valor con el del archivo descargado.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0"/>
      </w:tabs>
    </w:pPr>
    <w:r>
      <w:rPr>
        <w:color w:val="767171"/>
        <w:sz w:val="16"/>
        <w:szCs w:val="16"/>
      </w:rPr>
      <w:t xml:space="preserve">Manual del Administrador · GORE Valparaíso · AWNA</w:t>
    </w:r>
    <w:r>
      <w:rPr>
        <w:sz w:val="16"/>
        <w:szCs w:val="16"/>
      </w:rPr>
      <w:t xml:space="preserve">	</w:t>
    </w:r>
    <w:r>
      <w:rPr>
        <w:color w:val="767171"/>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767171"/>
        <w:sz w:val="16"/>
        <w:szCs w:val="16"/>
      </w:rPr>
      <w:t xml:space="preserve">Plataforma de Procesos Participativos Reglados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Administrador — GORE Valparaíso</dc:title>
  <dc:creator>AWNA</dc:creator>
  <dc:description>Documentación técnica de entrega</dc:description>
  <cp:lastModifiedBy>Un-named</cp:lastModifiedBy>
  <cp:revision>1</cp:revision>
  <dcterms:created xsi:type="dcterms:W3CDTF">2026-09-08T16:03:16.819Z</dcterms:created>
  <dcterms:modified xsi:type="dcterms:W3CDTF">2026-09-08T16:03:16.819Z</dcterms:modified>
</cp:coreProperties>
</file>

<file path=docProps/custom.xml><?xml version="1.0" encoding="utf-8"?>
<Properties xmlns="http://schemas.openxmlformats.org/officeDocument/2006/custom-properties" xmlns:vt="http://schemas.openxmlformats.org/officeDocument/2006/docPropsVTypes"/>
</file>