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Calibri" w:cs="Calibri" w:eastAsia="Calibri" w:hAnsi="Calibri"/>
          <w:b/>
          <w:bCs/>
          <w:color w:val="767171"/>
          <w:sz w:val="26"/>
          <w:szCs w:val="26"/>
        </w:rPr>
        <w:t xml:space="preserve">GOBIERNO REGIONAL DE VALPARAÍSO</w:t>
      </w:r>
    </w:p>
    <w:p>
      <w:pPr>
        <w:spacing w:after="800"/>
        <w:jc w:val="center"/>
      </w:pPr>
      <w:r>
        <w:rPr>
          <w:rFonts w:ascii="Calibri" w:cs="Calibri" w:eastAsia="Calibri" w:hAnsi="Calibri"/>
          <w:b w:val="false"/>
          <w:bCs w:val="false"/>
          <w:color w:val="767171"/>
          <w:sz w:val="24"/>
          <w:szCs w:val="24"/>
        </w:rPr>
        <w:t xml:space="preserve">Plataforma de Procesos Participativos Reglados</w:t>
      </w:r>
    </w:p>
    <w:p>
      <w:pPr>
        <w:pBdr>
          <w:bottom w:val="single" w:color="1F3864" w:sz="12" w:space="8"/>
        </w:pBdr>
        <w:spacing w:after="200"/>
        <w:jc w:val="center"/>
      </w:pPr>
      <w:r>
        <w:rPr>
          <w:rFonts w:ascii="Calibri" w:cs="Calibri" w:eastAsia="Calibri" w:hAnsi="Calibri"/>
          <w:b/>
          <w:bCs/>
          <w:color w:val="1F3864"/>
          <w:sz w:val="44"/>
          <w:szCs w:val="44"/>
        </w:rPr>
        <w:t xml:space="preserve">Acta de Entrega</w:t>
      </w:r>
    </w:p>
    <w:p>
      <w:pPr>
        <w:spacing w:after="1600"/>
        <w:jc w:val="center"/>
      </w:pPr>
      <w:r>
        <w:rPr>
          <w:rFonts w:ascii="Calibri" w:cs="Calibri" w:eastAsia="Calibri" w:hAnsi="Calibri"/>
          <w:b w:val="false"/>
          <w:bCs w:val="false"/>
          <w:color w:val="767171"/>
          <w:sz w:val="24"/>
          <w:szCs w:val="24"/>
        </w:rPr>
        <w:t xml:space="preserve">Etapas 3, 4 y 5 — Recepción para pago</w:t>
      </w:r>
    </w:p>
    <w:p>
      <w:pPr>
        <w:spacing w:after="100"/>
        <w:jc w:val="center"/>
      </w:pPr>
      <w:r>
        <w:rPr>
          <w:rFonts w:ascii="Calibri" w:cs="Calibri" w:eastAsia="Calibri" w:hAnsi="Calibri"/>
          <w:b/>
          <w:bCs/>
          <w:color w:val="000000"/>
          <w:sz w:val="24"/>
          <w:szCs w:val="24"/>
        </w:rPr>
        <w:t xml:space="preserve">Versión 1.0</w:t>
      </w:r>
    </w:p>
    <w:p>
      <w:pPr>
        <w:spacing w:after="100"/>
        <w:jc w:val="center"/>
      </w:pPr>
      <w:r>
        <w:rPr>
          <w:rFonts w:ascii="Calibri" w:cs="Calibri" w:eastAsia="Calibri" w:hAnsi="Calibri"/>
          <w:b w:val="false"/>
          <w:bCs w:val="false"/>
          <w:color w:val="767171"/>
          <w:sz w:val="22"/>
          <w:szCs w:val="22"/>
        </w:rPr>
        <w:t xml:space="preserve">29 de septiembre de 2026</w:t>
      </w:r>
    </w:p>
    <w:p>
      <w:pPr>
        <w:spacing w:after="0"/>
        <w:jc w:val="center"/>
      </w:pPr>
      <w:r>
        <w:rPr>
          <w:rFonts w:ascii="Calibri" w:cs="Calibri" w:eastAsia="Calibri" w:hAnsi="Calibri"/>
          <w:b w:val="false"/>
          <w:bCs w:val="false"/>
          <w:color w:val="767171"/>
          <w:sz w:val="22"/>
          <w:szCs w:val="22"/>
        </w:rPr>
        <w:t xml:space="preserve">Elaborado por AWNA</w:t>
      </w:r>
    </w:p>
    <w:p/>
    <w:p>
      <w:pPr>
        <w:sectPr>
          <w:pgSz w:w="11906" w:h="16838" w:orient="portrait"/>
          <w:pgMar w:top="1440" w:right="1134" w:bottom="1440" w:left="1134" w:header="708" w:footer="708" w:gutter="0"/>
          <w:pgNumType/>
          <w:docGrid w:linePitch="360"/>
        </w:sectPr>
      </w:pPr>
    </w:p>
    <w:p>
      <w:pPr>
        <w:spacing w:after="140" w:line="276"/>
        <w:jc w:val="both"/>
      </w:pPr>
      <w:r>
        <w:rPr>
          <w:b/>
          <w:bCs/>
          <w:sz w:val="21"/>
          <w:szCs w:val="21"/>
        </w:rPr>
        <w:t xml:space="preserve">Plataforma de Procesos Participativos Reglados — GORE Valparaíso</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tblGrid>
      <w:tr>
        <w:trPr>
          <w:tblHeader/>
        </w:trPr>
        <w:tc>
          <w:tcPr>
            <w:tcW w:type="pct" w:w="50%"/>
            <w:shd w:fill="DCE6F1" w:val="clear"/>
            <w:tcMar>
              <w:top w:type="dxa" w:w="60"/>
              <w:left w:type="dxa" w:w="100"/>
              <w:bottom w:type="dxa" w:w="60"/>
              <w:right w:type="dxa" w:w="100"/>
            </w:tcMar>
          </w:tcPr>
          <w:p>
            <w:pPr>
              <w:spacing w:after="20" w:before="20"/>
            </w:pPr>
            <w:r>
              <w:rPr>
                <w:b/>
                <w:bCs/>
                <w:sz w:val="18"/>
                <w:szCs w:val="18"/>
              </w:rPr>
              <w:t xml:space="preserve"/>
            </w:r>
          </w:p>
        </w:tc>
        <w:tc>
          <w:tcPr>
            <w:tcW w:type="pct" w:w="50%"/>
            <w:shd w:fill="DCE6F1" w:val="clear"/>
            <w:tcMar>
              <w:top w:type="dxa" w:w="60"/>
              <w:left w:type="dxa" w:w="100"/>
              <w:bottom w:type="dxa" w:w="60"/>
              <w:right w:type="dxa" w:w="100"/>
            </w:tcMar>
          </w:tcPr>
          <w:p>
            <w:pPr>
              <w:spacing w:after="20" w:before="20"/>
            </w:pPr>
            <w:r>
              <w:rPr>
                <w:b/>
                <w:bCs/>
                <w:sz w:val="18"/>
                <w:szCs w:val="18"/>
              </w:rPr>
              <w:t xml:space="preserve"/>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Versión</w:t>
            </w:r>
          </w:p>
        </w:tc>
        <w:tc>
          <w:tcPr>
            <w:tcW w:type="pct" w:w="50%"/>
            <w:tcMar>
              <w:top w:type="dxa" w:w="60"/>
              <w:left w:type="dxa" w:w="100"/>
              <w:bottom w:type="dxa" w:w="60"/>
              <w:right w:type="dxa" w:w="100"/>
            </w:tcMar>
          </w:tcPr>
          <w:p>
            <w:pPr>
              <w:spacing w:after="20" w:before="20"/>
            </w:pPr>
            <w:r>
              <w:rPr>
                <w:b w:val="false"/>
                <w:bCs w:val="false"/>
                <w:sz w:val="18"/>
                <w:szCs w:val="18"/>
              </w:rPr>
              <w:t xml:space="preserve">1.0</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Fecha</w:t>
            </w:r>
          </w:p>
        </w:tc>
        <w:tc>
          <w:tcPr>
            <w:tcW w:type="pct" w:w="50%"/>
            <w:tcMar>
              <w:top w:type="dxa" w:w="60"/>
              <w:left w:type="dxa" w:w="100"/>
              <w:bottom w:type="dxa" w:w="60"/>
              <w:right w:type="dxa" w:w="100"/>
            </w:tcMar>
          </w:tcPr>
          <w:p>
            <w:pPr>
              <w:spacing w:after="20" w:before="20"/>
            </w:pPr>
            <w:r>
              <w:rPr>
                <w:b w:val="false"/>
                <w:bCs w:val="false"/>
                <w:sz w:val="18"/>
                <w:szCs w:val="18"/>
              </w:rPr>
              <w:t xml:space="preserve">29 de septiembre de 2026</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Emisor</w:t>
            </w:r>
          </w:p>
        </w:tc>
        <w:tc>
          <w:tcPr>
            <w:tcW w:type="pct" w:w="50%"/>
            <w:tcMar>
              <w:top w:type="dxa" w:w="60"/>
              <w:left w:type="dxa" w:w="100"/>
              <w:bottom w:type="dxa" w:w="60"/>
              <w:right w:type="dxa" w:w="100"/>
            </w:tcMar>
          </w:tcPr>
          <w:p>
            <w:pPr>
              <w:spacing w:after="20" w:before="20"/>
            </w:pPr>
            <w:r>
              <w:rPr>
                <w:b w:val="false"/>
                <w:bCs w:val="false"/>
                <w:sz w:val="18"/>
                <w:szCs w:val="18"/>
              </w:rPr>
              <w:t xml:space="preserve">AWNA</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Destinatario</w:t>
            </w:r>
          </w:p>
        </w:tc>
        <w:tc>
          <w:tcPr>
            <w:tcW w:type="pct" w:w="50%"/>
            <w:tcMar>
              <w:top w:type="dxa" w:w="60"/>
              <w:left w:type="dxa" w:w="100"/>
              <w:bottom w:type="dxa" w:w="60"/>
              <w:right w:type="dxa" w:w="100"/>
            </w:tcMar>
          </w:tcPr>
          <w:p>
            <w:pPr>
              <w:spacing w:after="20" w:before="20"/>
            </w:pPr>
            <w:r>
              <w:rPr>
                <w:b w:val="false"/>
                <w:bCs w:val="false"/>
                <w:sz w:val="18"/>
                <w:szCs w:val="18"/>
              </w:rPr>
              <w:t xml:space="preserve">División de Planificación y Desarrollo y Unidad de Informática, Gobierno Regional de Valparaíso</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Objeto</w:t>
            </w:r>
          </w:p>
        </w:tc>
        <w:tc>
          <w:tcPr>
            <w:tcW w:type="pct" w:w="50%"/>
            <w:tcMar>
              <w:top w:type="dxa" w:w="60"/>
              <w:left w:type="dxa" w:w="100"/>
              <w:bottom w:type="dxa" w:w="60"/>
              <w:right w:type="dxa" w:w="100"/>
            </w:tcMar>
          </w:tcPr>
          <w:p>
            <w:pPr>
              <w:spacing w:after="20" w:before="20"/>
            </w:pPr>
            <w:r>
              <w:rPr>
                <w:b w:val="false"/>
                <w:bCs w:val="false"/>
                <w:sz w:val="18"/>
                <w:szCs w:val="18"/>
              </w:rPr>
              <w:t xml:space="preserve">Entrega consolidada de los productos de las Etapas 3, 4 y 5 para su recepción conforme</w:t>
            </w:r>
          </w:p>
        </w:tc>
      </w:tr>
    </w:tbl>
    <w:p>
      <w:pPr>
        <w:spacing w:after="160"/>
      </w:pP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1. Resumen</w:t>
      </w:r>
    </w:p>
    <w:p>
      <w:pPr>
        <w:spacing w:after="140" w:line="276"/>
        <w:jc w:val="both"/>
      </w:pPr>
      <w:r>
        <w:rPr>
          <w:sz w:val="21"/>
          <w:szCs w:val="21"/>
        </w:rPr>
        <w:t xml:space="preserve">Este documento consolida en un solo lugar los productos comprometidos para las Etapas 3, 4 y 5. Para cada producto se indica qué se entrega, dónde encontrarlo y su estado.</w:t>
      </w:r>
    </w:p>
    <w:p>
      <w:pPr>
        <w:spacing w:after="140" w:line="276"/>
        <w:jc w:val="both"/>
      </w:pPr>
      <w:r>
        <w:rPr>
          <w:sz w:val="21"/>
          <w:szCs w:val="21"/>
        </w:rPr>
        <w:t xml:space="preserve">La plataforma está </w:t>
      </w:r>
      <w:r>
        <w:rPr>
          <w:b/>
          <w:bCs/>
          <w:sz w:val="21"/>
          <w:szCs w:val="21"/>
        </w:rPr>
        <w:t xml:space="preserve">operativa en producción</w:t>
      </w:r>
      <w:r>
        <w:rPr>
          <w:sz w:val="21"/>
          <w:szCs w:val="21"/>
        </w:rPr>
        <w:t xml:space="preserve"> en su dominio oficial, con certificado de seguridad vigente, y el ambiente de pruebas (QA) está disponible con los mismos módulos. Los puntos abiertos de la Etapa 5 dependen de gestiones externas y se detallan en la sección 5.</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tcW w:type="pct" w:w="33%"/>
            <w:shd w:fill="DCE6F1" w:val="clear"/>
            <w:tcMar>
              <w:top w:type="dxa" w:w="60"/>
              <w:left w:type="dxa" w:w="100"/>
              <w:bottom w:type="dxa" w:w="60"/>
              <w:right w:type="dxa" w:w="100"/>
            </w:tcMar>
          </w:tcPr>
          <w:p>
            <w:pPr>
              <w:spacing w:after="20" w:before="20"/>
            </w:pPr>
            <w:r>
              <w:rPr>
                <w:b/>
                <w:bCs/>
                <w:sz w:val="18"/>
                <w:szCs w:val="18"/>
              </w:rPr>
              <w:t xml:space="preserve">Ambiente</w:t>
            </w:r>
          </w:p>
        </w:tc>
        <w:tc>
          <w:tcPr>
            <w:tcW w:type="pct" w:w="33%"/>
            <w:shd w:fill="DCE6F1" w:val="clear"/>
            <w:tcMar>
              <w:top w:type="dxa" w:w="60"/>
              <w:left w:type="dxa" w:w="100"/>
              <w:bottom w:type="dxa" w:w="60"/>
              <w:right w:type="dxa" w:w="100"/>
            </w:tcMar>
          </w:tcPr>
          <w:p>
            <w:pPr>
              <w:spacing w:after="20" w:before="20"/>
            </w:pPr>
            <w:r>
              <w:rPr>
                <w:b/>
                <w:bCs/>
                <w:sz w:val="18"/>
                <w:szCs w:val="18"/>
              </w:rPr>
              <w:t xml:space="preserve">Dirección</w:t>
            </w:r>
          </w:p>
        </w:tc>
        <w:tc>
          <w:tcPr>
            <w:tcW w:type="pct" w:w="33%"/>
            <w:shd w:fill="DCE6F1" w:val="clear"/>
            <w:tcMar>
              <w:top w:type="dxa" w:w="60"/>
              <w:left w:type="dxa" w:w="100"/>
              <w:bottom w:type="dxa" w:w="60"/>
              <w:right w:type="dxa" w:w="100"/>
            </w:tcMar>
          </w:tcPr>
          <w:p>
            <w:pPr>
              <w:spacing w:after="20" w:before="20"/>
            </w:pPr>
            <w:r>
              <w:rPr>
                <w:b/>
                <w:bCs/>
                <w:sz w:val="18"/>
                <w:szCs w:val="18"/>
              </w:rPr>
              <w:t xml:space="preserve">Estado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Producción</w:t>
            </w:r>
          </w:p>
        </w:tc>
        <w:tc>
          <w:tcPr>
            <w:tcW w:type="pct" w:w="33%"/>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https://www.participa.gobiernovalparaiso.cl</w:t>
            </w:r>
          </w:p>
        </w:tc>
        <w:tc>
          <w:tcPr>
            <w:tcW w:type="pct" w:w="33%"/>
            <w:tcMar>
              <w:top w:type="dxa" w:w="60"/>
              <w:left w:type="dxa" w:w="100"/>
              <w:bottom w:type="dxa" w:w="60"/>
              <w:right w:type="dxa" w:w="100"/>
            </w:tcMar>
          </w:tcPr>
          <w:p>
            <w:pPr>
              <w:spacing w:after="20" w:before="20"/>
            </w:pPr>
            <w:r>
              <w:rPr>
                <w:b w:val="false"/>
                <w:bCs w:val="false"/>
                <w:sz w:val="18"/>
                <w:szCs w:val="18"/>
              </w:rPr>
              <w:t xml:space="preserve">Operativo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Pruebas (QA)</w:t>
            </w:r>
          </w:p>
        </w:tc>
        <w:tc>
          <w:tcPr>
            <w:tcW w:type="pct" w:w="33%"/>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https://pruebas.participa.gobiernovalparaiso.cl</w:t>
            </w:r>
          </w:p>
        </w:tc>
        <w:tc>
          <w:tcPr>
            <w:tcW w:type="pct" w:w="33%"/>
            <w:tcMar>
              <w:top w:type="dxa" w:w="60"/>
              <w:left w:type="dxa" w:w="100"/>
              <w:bottom w:type="dxa" w:w="60"/>
              <w:right w:type="dxa" w:w="100"/>
            </w:tcMar>
          </w:tcPr>
          <w:p>
            <w:pPr>
              <w:spacing w:after="20" w:before="20"/>
            </w:pPr>
            <w:r>
              <w:rPr>
                <w:b w:val="false"/>
                <w:bCs w:val="false"/>
                <w:sz w:val="18"/>
                <w:szCs w:val="18"/>
              </w:rPr>
              <w:t xml:space="preserve">Operativo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Backoffice (en ambos)</w:t>
            </w:r>
          </w:p>
        </w:tc>
        <w:tc>
          <w:tcPr>
            <w:tcW w:type="pct" w:w="33%"/>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&lt;dirección del ambiente&gt;/admin/login</w:t>
            </w:r>
          </w:p>
        </w:tc>
        <w:tc>
          <w:tcPr>
            <w:tcW w:type="pct" w:w="33%"/>
            <w:tcMar>
              <w:top w:type="dxa" w:w="60"/>
              <w:left w:type="dxa" w:w="100"/>
              <w:bottom w:type="dxa" w:w="60"/>
              <w:right w:type="dxa" w:w="100"/>
            </w:tcMar>
          </w:tcPr>
          <w:p>
            <w:pPr>
              <w:spacing w:after="20" w:before="20"/>
            </w:pPr>
            <w:r>
              <w:rPr>
                <w:b w:val="false"/>
                <w:bCs w:val="false"/>
                <w:sz w:val="18"/>
                <w:szCs w:val="18"/>
              </w:rPr>
              <w:t xml:space="preserve">Operativo</w:t>
            </w:r>
          </w:p>
        </w:tc>
      </w:tr>
    </w:tbl>
    <w:p>
      <w:pPr>
        <w:spacing w:after="160"/>
      </w:pP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2. Etapa 3 — Desarrollo del Core (Gestor y Backoffice)</w:t>
      </w:r>
    </w:p>
    <w:p>
      <w:pPr>
        <w:spacing w:after="140" w:line="276"/>
        <w:jc w:val="both"/>
      </w:pPr>
      <w:r>
        <w:rPr>
          <w:b/>
          <w:bCs/>
          <w:sz w:val="21"/>
          <w:szCs w:val="21"/>
        </w:rPr>
        <w:t xml:space="preserve">Producto comprometido:</w:t>
      </w:r>
      <w:r>
        <w:rPr>
          <w:sz w:val="21"/>
          <w:szCs w:val="21"/>
        </w:rPr>
        <w:t xml:space="preserve"> acceso al ambiente de pruebas (QA) con módulos operativos.</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tblGrid>
      <w:tr>
        <w:trPr>
          <w:tblHeader/>
        </w:trPr>
        <w:tc>
          <w:tcPr>
            <w:tcW w:type="pct" w:w="33%"/>
            <w:shd w:fill="DCE6F1" w:val="clear"/>
            <w:tcMar>
              <w:top w:type="dxa" w:w="60"/>
              <w:left w:type="dxa" w:w="100"/>
              <w:bottom w:type="dxa" w:w="60"/>
              <w:right w:type="dxa" w:w="100"/>
            </w:tcMar>
          </w:tcPr>
          <w:p>
            <w:pPr>
              <w:spacing w:after="20" w:before="20"/>
            </w:pPr>
            <w:r>
              <w:rPr>
                <w:b/>
                <w:bCs/>
                <w:sz w:val="18"/>
                <w:szCs w:val="18"/>
              </w:rPr>
              <w:t xml:space="preserve">Módulo</w:t>
            </w:r>
          </w:p>
        </w:tc>
        <w:tc>
          <w:tcPr>
            <w:tcW w:type="pct" w:w="33%"/>
            <w:shd w:fill="DCE6F1" w:val="clear"/>
            <w:tcMar>
              <w:top w:type="dxa" w:w="60"/>
              <w:left w:type="dxa" w:w="100"/>
              <w:bottom w:type="dxa" w:w="60"/>
              <w:right w:type="dxa" w:w="100"/>
            </w:tcMar>
          </w:tcPr>
          <w:p>
            <w:pPr>
              <w:spacing w:after="20" w:before="20"/>
            </w:pPr>
            <w:r>
              <w:rPr>
                <w:b/>
                <w:bCs/>
                <w:sz w:val="18"/>
                <w:szCs w:val="18"/>
              </w:rPr>
              <w:t xml:space="preserve">Qué hace</w:t>
            </w:r>
          </w:p>
        </w:tc>
        <w:tc>
          <w:tcPr>
            <w:tcW w:type="pct" w:w="33%"/>
            <w:shd w:fill="DCE6F1" w:val="clear"/>
            <w:tcMar>
              <w:top w:type="dxa" w:w="60"/>
              <w:left w:type="dxa" w:w="100"/>
              <w:bottom w:type="dxa" w:w="60"/>
              <w:right w:type="dxa" w:w="100"/>
            </w:tcMar>
          </w:tcPr>
          <w:p>
            <w:pPr>
              <w:spacing w:after="20" w:before="20"/>
            </w:pPr>
            <w:r>
              <w:rPr>
                <w:b/>
                <w:bCs/>
                <w:sz w:val="18"/>
                <w:szCs w:val="18"/>
              </w:rPr>
              <w:t xml:space="preserve">Estado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Gestor de procesos</w:t>
            </w:r>
          </w:p>
        </w:tc>
        <w:tc>
          <w:tcPr>
            <w:tcW w:type="pct" w:w="33%"/>
            <w:tcMar>
              <w:top w:type="dxa" w:w="60"/>
              <w:left w:type="dxa" w:w="100"/>
              <w:bottom w:type="dxa" w:w="60"/>
              <w:right w:type="dxa" w:w="100"/>
            </w:tcMar>
          </w:tcPr>
          <w:p>
            <w:pPr>
              <w:spacing w:after="20" w:before="20"/>
            </w:pPr>
            <w:r>
              <w:rPr>
                <w:b w:val="false"/>
                <w:bCs w:val="false"/>
                <w:sz w:val="18"/>
                <w:szCs w:val="18"/>
              </w:rPr>
              <w:t xml:space="preserve">Crear, publicar, activar, cerrar y archivar consultas, con su ventana de fechas y sus métodos de participación</w:t>
            </w:r>
          </w:p>
        </w:tc>
        <w:tc>
          <w:tcPr>
            <w:tcW w:type="pct" w:w="33%"/>
            <w:tcMar>
              <w:top w:type="dxa" w:w="60"/>
              <w:left w:type="dxa" w:w="100"/>
              <w:bottom w:type="dxa" w:w="60"/>
              <w:right w:type="dxa" w:w="100"/>
            </w:tcMar>
          </w:tcPr>
          <w:p>
            <w:pPr>
              <w:spacing w:after="20" w:before="20"/>
            </w:pPr>
            <w:r>
              <w:rPr>
                <w:b w:val="false"/>
                <w:bCs w:val="false"/>
                <w:sz w:val="18"/>
                <w:szCs w:val="18"/>
              </w:rPr>
              <w:t xml:space="preserve">Entregado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Antecedentes técnicos</w:t>
            </w:r>
          </w:p>
        </w:tc>
        <w:tc>
          <w:tcPr>
            <w:tcW w:type="pct" w:w="33%"/>
            <w:tcMar>
              <w:top w:type="dxa" w:w="60"/>
              <w:left w:type="dxa" w:w="100"/>
              <w:bottom w:type="dxa" w:w="60"/>
              <w:right w:type="dxa" w:w="100"/>
            </w:tcMar>
          </w:tcPr>
          <w:p>
            <w:pPr>
              <w:spacing w:after="20" w:before="20"/>
            </w:pPr>
            <w:r>
              <w:rPr>
                <w:b w:val="false"/>
                <w:bCs w:val="false"/>
                <w:sz w:val="18"/>
                <w:szCs w:val="18"/>
              </w:rPr>
              <w:t xml:space="preserve">Carga de documentos con versionado y huella SHA-256</w:t>
            </w:r>
          </w:p>
        </w:tc>
        <w:tc>
          <w:tcPr>
            <w:tcW w:type="pct" w:w="33%"/>
            <w:tcMar>
              <w:top w:type="dxa" w:w="60"/>
              <w:left w:type="dxa" w:w="100"/>
              <w:bottom w:type="dxa" w:w="60"/>
              <w:right w:type="dxa" w:w="100"/>
            </w:tcMar>
          </w:tcPr>
          <w:p>
            <w:pPr>
              <w:spacing w:after="20" w:before="20"/>
            </w:pPr>
            <w:r>
              <w:rPr>
                <w:b w:val="false"/>
                <w:bCs w:val="false"/>
                <w:sz w:val="18"/>
                <w:szCs w:val="18"/>
              </w:rPr>
              <w:t xml:space="preserve">Entregado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Gestión de observaciones</w:t>
            </w:r>
          </w:p>
        </w:tc>
        <w:tc>
          <w:tcPr>
            <w:tcW w:type="pct" w:w="33%"/>
            <w:tcMar>
              <w:top w:type="dxa" w:w="60"/>
              <w:left w:type="dxa" w:w="100"/>
              <w:bottom w:type="dxa" w:w="60"/>
              <w:right w:type="dxa" w:w="100"/>
            </w:tcMar>
          </w:tcPr>
          <w:p>
            <w:pPr>
              <w:spacing w:after="20" w:before="20"/>
            </w:pPr>
            <w:r>
              <w:rPr>
                <w:b w:val="false"/>
                <w:bCs w:val="false"/>
                <w:sz w:val="18"/>
                <w:szCs w:val="18"/>
              </w:rPr>
              <w:t xml:space="preserve">Listado, filtros, ficha completa y archivado controlado</w:t>
            </w:r>
          </w:p>
        </w:tc>
        <w:tc>
          <w:tcPr>
            <w:tcW w:type="pct" w:w="33%"/>
            <w:tcMar>
              <w:top w:type="dxa" w:w="60"/>
              <w:left w:type="dxa" w:w="100"/>
              <w:bottom w:type="dxa" w:w="60"/>
              <w:right w:type="dxa" w:w="100"/>
            </w:tcMar>
          </w:tcPr>
          <w:p>
            <w:pPr>
              <w:spacing w:after="20" w:before="20"/>
            </w:pPr>
            <w:r>
              <w:rPr>
                <w:b w:val="false"/>
                <w:bCs w:val="false"/>
                <w:sz w:val="18"/>
                <w:szCs w:val="18"/>
              </w:rPr>
              <w:t xml:space="preserve">Entregado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Respuestas institucionales</w:t>
            </w:r>
          </w:p>
        </w:tc>
        <w:tc>
          <w:tcPr>
            <w:tcW w:type="pct" w:w="33%"/>
            <w:tcMar>
              <w:top w:type="dxa" w:w="60"/>
              <w:left w:type="dxa" w:w="100"/>
              <w:bottom w:type="dxa" w:w="60"/>
              <w:right w:type="dxa" w:w="100"/>
            </w:tcMar>
          </w:tcPr>
          <w:p>
            <w:pPr>
              <w:spacing w:after="20" w:before="20"/>
            </w:pPr>
            <w:r>
              <w:rPr>
                <w:b w:val="false"/>
                <w:bCs w:val="false"/>
                <w:sz w:val="18"/>
                <w:szCs w:val="18"/>
              </w:rPr>
              <w:t xml:space="preserve">Borrador, publicación, notificación y respuesta en lote</w:t>
            </w:r>
          </w:p>
        </w:tc>
        <w:tc>
          <w:tcPr>
            <w:tcW w:type="pct" w:w="33%"/>
            <w:tcMar>
              <w:top w:type="dxa" w:w="60"/>
              <w:left w:type="dxa" w:w="100"/>
              <w:bottom w:type="dxa" w:w="60"/>
              <w:right w:type="dxa" w:w="100"/>
            </w:tcMar>
          </w:tcPr>
          <w:p>
            <w:pPr>
              <w:spacing w:after="20" w:before="20"/>
            </w:pPr>
            <w:r>
              <w:rPr>
                <w:b w:val="false"/>
                <w:bCs w:val="false"/>
                <w:sz w:val="18"/>
                <w:szCs w:val="18"/>
              </w:rPr>
              <w:t xml:space="preserve">Entregado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Exportación</w:t>
            </w:r>
          </w:p>
        </w:tc>
        <w:tc>
          <w:tcPr>
            <w:tcW w:type="pct" w:w="33%"/>
            <w:tcMar>
              <w:top w:type="dxa" w:w="60"/>
              <w:left w:type="dxa" w:w="100"/>
              <w:bottom w:type="dxa" w:w="60"/>
              <w:right w:type="dxa" w:w="100"/>
            </w:tcMar>
          </w:tcPr>
          <w:p>
            <w:pPr>
              <w:spacing w:after="20" w:before="20"/>
            </w:pPr>
            <w:r>
              <w:rPr>
                <w:b w:val="false"/>
                <w:bCs w:val="false"/>
                <w:sz w:val="18"/>
                <w:szCs w:val="18"/>
              </w:rPr>
              <w:t xml:space="preserve">Compendio en XLSX/CSV y adjuntos en ZIP, respetando los filtros</w:t>
            </w:r>
          </w:p>
        </w:tc>
        <w:tc>
          <w:tcPr>
            <w:tcW w:type="pct" w:w="33%"/>
            <w:tcMar>
              <w:top w:type="dxa" w:w="60"/>
              <w:left w:type="dxa" w:w="100"/>
              <w:bottom w:type="dxa" w:w="60"/>
              <w:right w:type="dxa" w:w="100"/>
            </w:tcMar>
          </w:tcPr>
          <w:p>
            <w:pPr>
              <w:spacing w:after="20" w:before="20"/>
            </w:pPr>
            <w:r>
              <w:rPr>
                <w:b w:val="false"/>
                <w:bCs w:val="false"/>
                <w:sz w:val="18"/>
                <w:szCs w:val="18"/>
              </w:rPr>
              <w:t xml:space="preserve">Entregado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Usuarios y roles</w:t>
            </w:r>
          </w:p>
        </w:tc>
        <w:tc>
          <w:tcPr>
            <w:tcW w:type="pct" w:w="33%"/>
            <w:tcMar>
              <w:top w:type="dxa" w:w="60"/>
              <w:left w:type="dxa" w:w="100"/>
              <w:bottom w:type="dxa" w:w="60"/>
              <w:right w:type="dxa" w:w="100"/>
            </w:tcMar>
          </w:tcPr>
          <w:p>
            <w:pPr>
              <w:spacing w:after="20" w:before="20"/>
            </w:pPr>
            <w:r>
              <w:rPr>
                <w:b w:val="false"/>
                <w:bCs w:val="false"/>
                <w:sz w:val="18"/>
                <w:szCs w:val="18"/>
              </w:rPr>
              <w:t xml:space="preserve">Funcionario y super-admin, con activación y desactivación</w:t>
            </w:r>
          </w:p>
        </w:tc>
        <w:tc>
          <w:tcPr>
            <w:tcW w:type="pct" w:w="33%"/>
            <w:tcMar>
              <w:top w:type="dxa" w:w="60"/>
              <w:left w:type="dxa" w:w="100"/>
              <w:bottom w:type="dxa" w:w="60"/>
              <w:right w:type="dxa" w:w="100"/>
            </w:tcMar>
          </w:tcPr>
          <w:p>
            <w:pPr>
              <w:spacing w:after="20" w:before="20"/>
            </w:pPr>
            <w:r>
              <w:rPr>
                <w:b w:val="false"/>
                <w:bCs w:val="false"/>
                <w:sz w:val="18"/>
                <w:szCs w:val="18"/>
              </w:rPr>
              <w:t xml:space="preserve">Entregado</w:t>
            </w:r>
          </w:p>
        </w:tc>
      </w:tr>
      <w:tr>
        <w:trPr>
          <w:tblHeader w:val="false"/>
        </w:trPr>
        <w:tc>
          <w:tcPr>
            <w:tcW w:type="pct" w:w="33%"/>
            <w:tcMar>
              <w:top w:type="dxa" w:w="60"/>
              <w:left w:type="dxa" w:w="100"/>
              <w:bottom w:type="dxa" w:w="60"/>
              <w:right w:type="dxa" w:w="100"/>
            </w:tcMar>
          </w:tcPr>
          <w:p>
            <w:pPr>
              <w:spacing w:after="20" w:before="20"/>
            </w:pPr>
            <w:r>
              <w:rPr>
                <w:b w:val="false"/>
                <w:bCs w:val="false"/>
                <w:sz w:val="18"/>
                <w:szCs w:val="18"/>
              </w:rPr>
              <w:t xml:space="preserve">Bitácora de auditoría</w:t>
            </w:r>
          </w:p>
        </w:tc>
        <w:tc>
          <w:tcPr>
            <w:tcW w:type="pct" w:w="33%"/>
            <w:tcMar>
              <w:top w:type="dxa" w:w="60"/>
              <w:left w:type="dxa" w:w="100"/>
              <w:bottom w:type="dxa" w:w="60"/>
              <w:right w:type="dxa" w:w="100"/>
            </w:tcMar>
          </w:tcPr>
          <w:p>
            <w:pPr>
              <w:spacing w:after="20" w:before="20"/>
            </w:pPr>
            <w:r>
              <w:rPr>
                <w:b w:val="false"/>
                <w:bCs w:val="false"/>
                <w:sz w:val="18"/>
                <w:szCs w:val="18"/>
              </w:rPr>
              <w:t xml:space="preserve">Registro inalterable de las acciones del sistema</w:t>
            </w:r>
          </w:p>
        </w:tc>
        <w:tc>
          <w:tcPr>
            <w:tcW w:type="pct" w:w="33%"/>
            <w:tcMar>
              <w:top w:type="dxa" w:w="60"/>
              <w:left w:type="dxa" w:w="100"/>
              <w:bottom w:type="dxa" w:w="60"/>
              <w:right w:type="dxa" w:w="100"/>
            </w:tcMar>
          </w:tcPr>
          <w:p>
            <w:pPr>
              <w:spacing w:after="20" w:before="20"/>
            </w:pPr>
            <w:r>
              <w:rPr>
                <w:b w:val="false"/>
                <w:bCs w:val="false"/>
                <w:sz w:val="18"/>
                <w:szCs w:val="18"/>
              </w:rPr>
              <w:t xml:space="preserve">Entregado</w:t>
            </w:r>
          </w:p>
        </w:tc>
      </w:tr>
    </w:tbl>
    <w:p>
      <w:pPr>
        <w:spacing w:after="160"/>
      </w:pPr>
    </w:p>
    <w:p>
      <w:pPr>
        <w:spacing w:after="140" w:line="276"/>
        <w:jc w:val="both"/>
      </w:pPr>
      <w:r>
        <w:rPr>
          <w:b/>
          <w:bCs/>
          <w:sz w:val="21"/>
          <w:szCs w:val="21"/>
        </w:rPr>
        <w:t xml:space="preserve">Evidencia:</w:t>
      </w:r>
      <w:r>
        <w:rPr>
          <w:sz w:val="21"/>
          <w:szCs w:val="21"/>
        </w:rPr>
        <w:t xml:space="preserve"> ambiente QA en </w:t>
      </w:r>
      <w:r>
        <w:rPr>
          <w:rFonts w:ascii="Consolas" w:cs="Consolas" w:eastAsia="Consolas" w:hAnsi="Consolas"/>
          <w:color w:val="A31515"/>
          <w:sz w:val="21"/>
          <w:szCs w:val="21"/>
        </w:rPr>
        <w:t xml:space="preserve">https://pruebas.participa.gobiernovalparaiso.cl</w:t>
      </w:r>
      <w:r>
        <w:rPr>
          <w:sz w:val="21"/>
          <w:szCs w:val="21"/>
        </w:rPr>
        <w:t xml:space="preserve">, Manual del Administrador e Informe de QA (carpeta </w:t>
      </w:r>
      <w:r>
        <w:rPr>
          <w:rFonts w:ascii="Consolas" w:cs="Consolas" w:eastAsia="Consolas" w:hAnsi="Consolas"/>
          <w:color w:val="A31515"/>
          <w:sz w:val="21"/>
          <w:szCs w:val="21"/>
        </w:rPr>
        <w:t xml:space="preserve">Etapa-3</w:t>
      </w:r>
      <w:r>
        <w:rPr>
          <w:sz w:val="21"/>
          <w:szCs w:val="21"/>
        </w:rPr>
        <w:t xml:space="preserve">).</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3. Etapa 4 — Integración y Módulos de Participación</w:t>
      </w:r>
    </w:p>
    <w:p>
      <w:pPr>
        <w:spacing w:after="140" w:line="276"/>
        <w:jc w:val="both"/>
      </w:pPr>
      <w:r>
        <w:rPr>
          <w:b/>
          <w:bCs/>
          <w:sz w:val="21"/>
          <w:szCs w:val="21"/>
        </w:rPr>
        <w:t xml:space="preserve">Producto comprometido:</w:t>
      </w:r>
      <w:r>
        <w:rPr>
          <w:sz w:val="21"/>
          <w:szCs w:val="21"/>
        </w:rPr>
        <w:t xml:space="preserve"> versión Beta de la plataforma completa en el ambiente de pruebas (QA).</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tblGrid>
      <w:tr>
        <w:trPr>
          <w:tblHeader/>
        </w:trPr>
        <w:tc>
          <w:tcPr>
            <w:tcW w:type="pct" w:w="50%"/>
            <w:shd w:fill="DCE6F1" w:val="clear"/>
            <w:tcMar>
              <w:top w:type="dxa" w:w="60"/>
              <w:left w:type="dxa" w:w="100"/>
              <w:bottom w:type="dxa" w:w="60"/>
              <w:right w:type="dxa" w:w="100"/>
            </w:tcMar>
          </w:tcPr>
          <w:p>
            <w:pPr>
              <w:spacing w:after="20" w:before="20"/>
            </w:pPr>
            <w:r>
              <w:rPr>
                <w:b/>
                <w:bCs/>
                <w:sz w:val="18"/>
                <w:szCs w:val="18"/>
              </w:rPr>
              <w:t xml:space="preserve">Componente</w:t>
            </w:r>
          </w:p>
        </w:tc>
        <w:tc>
          <w:tcPr>
            <w:tcW w:type="pct" w:w="50%"/>
            <w:shd w:fill="DCE6F1" w:val="clear"/>
            <w:tcMar>
              <w:top w:type="dxa" w:w="60"/>
              <w:left w:type="dxa" w:w="100"/>
              <w:bottom w:type="dxa" w:w="60"/>
              <w:right w:type="dxa" w:w="100"/>
            </w:tcMar>
          </w:tcPr>
          <w:p>
            <w:pPr>
              <w:spacing w:after="20" w:before="20"/>
            </w:pPr>
            <w:r>
              <w:rPr>
                <w:b/>
                <w:bCs/>
                <w:sz w:val="18"/>
                <w:szCs w:val="18"/>
              </w:rPr>
              <w:t xml:space="preserve">Estado</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Portal público: portada, listado de consultas, ficha del proceso, descarga de antecedentes, comprobante de envío y respuestas publicadas</w:t>
            </w:r>
          </w:p>
        </w:tc>
        <w:tc>
          <w:tcPr>
            <w:tcW w:type="pct" w:w="50%"/>
            <w:tcMar>
              <w:top w:type="dxa" w:w="60"/>
              <w:left w:type="dxa" w:w="100"/>
              <w:bottom w:type="dxa" w:w="60"/>
              <w:right w:type="dxa" w:w="100"/>
            </w:tcMar>
          </w:tcPr>
          <w:p>
            <w:pPr>
              <w:spacing w:after="20" w:before="20"/>
            </w:pPr>
            <w:r>
              <w:rPr>
                <w:b w:val="false"/>
                <w:bCs w:val="false"/>
                <w:sz w:val="18"/>
                <w:szCs w:val="18"/>
              </w:rPr>
              <w:t xml:space="preserve">Entregado</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Participación sin registro para Persona Natural, Persona Jurídica y Organización sin PJ</w:t>
            </w:r>
          </w:p>
        </w:tc>
        <w:tc>
          <w:tcPr>
            <w:tcW w:type="pct" w:w="50%"/>
            <w:tcMar>
              <w:top w:type="dxa" w:w="60"/>
              <w:left w:type="dxa" w:w="100"/>
              <w:bottom w:type="dxa" w:w="60"/>
              <w:right w:type="dxa" w:w="100"/>
            </w:tcMar>
          </w:tcPr>
          <w:p>
            <w:pPr>
              <w:spacing w:after="20" w:before="20"/>
            </w:pPr>
            <w:r>
              <w:rPr>
                <w:b w:val="false"/>
                <w:bCs w:val="false"/>
                <w:sz w:val="18"/>
                <w:szCs w:val="18"/>
              </w:rPr>
              <w:t xml:space="preserve">Entregado</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Integración con ClaveÚnica (OpenID Connect), probada de punta a punta en QA contra el proveedor oficial: ingreso, datos del ciudadano y cierre de sesión federado</w:t>
            </w:r>
          </w:p>
        </w:tc>
        <w:tc>
          <w:tcPr>
            <w:tcW w:type="pct" w:w="50%"/>
            <w:tcMar>
              <w:top w:type="dxa" w:w="60"/>
              <w:left w:type="dxa" w:w="100"/>
              <w:bottom w:type="dxa" w:w="60"/>
              <w:right w:type="dxa" w:w="100"/>
            </w:tcMar>
          </w:tcPr>
          <w:p>
            <w:pPr>
              <w:spacing w:after="20" w:before="20"/>
            </w:pPr>
            <w:r>
              <w:rPr>
                <w:b w:val="false"/>
                <w:bCs w:val="false"/>
                <w:sz w:val="18"/>
                <w:szCs w:val="18"/>
              </w:rPr>
              <w:t xml:space="preserve">Entregado</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Correo obligatorio como regla de validación en toda participación</w:t>
            </w:r>
          </w:p>
        </w:tc>
        <w:tc>
          <w:tcPr>
            <w:tcW w:type="pct" w:w="50%"/>
            <w:tcMar>
              <w:top w:type="dxa" w:w="60"/>
              <w:left w:type="dxa" w:w="100"/>
              <w:bottom w:type="dxa" w:w="60"/>
              <w:right w:type="dxa" w:w="100"/>
            </w:tcMar>
          </w:tcPr>
          <w:p>
            <w:pPr>
              <w:spacing w:after="20" w:before="20"/>
            </w:pPr>
            <w:r>
              <w:rPr>
                <w:b w:val="false"/>
                <w:bCs w:val="false"/>
                <w:sz w:val="18"/>
                <w:szCs w:val="18"/>
              </w:rPr>
              <w:t xml:space="preserve">Entregado</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Envíos con hasta 20 observaciones y adjunto por observación</w:t>
            </w:r>
          </w:p>
        </w:tc>
        <w:tc>
          <w:tcPr>
            <w:tcW w:type="pct" w:w="50%"/>
            <w:tcMar>
              <w:top w:type="dxa" w:w="60"/>
              <w:left w:type="dxa" w:w="100"/>
              <w:bottom w:type="dxa" w:w="60"/>
              <w:right w:type="dxa" w:w="100"/>
            </w:tcMar>
          </w:tcPr>
          <w:p>
            <w:pPr>
              <w:spacing w:after="20" w:before="20"/>
            </w:pPr>
            <w:r>
              <w:rPr>
                <w:b w:val="false"/>
                <w:bCs w:val="false"/>
                <w:sz w:val="18"/>
                <w:szCs w:val="18"/>
              </w:rPr>
              <w:t xml:space="preserve">Entregado</w:t>
            </w:r>
          </w:p>
        </w:tc>
      </w:tr>
      <w:tr>
        <w:trPr>
          <w:tblHeader w:val="false"/>
        </w:trPr>
        <w:tc>
          <w:tcPr>
            <w:tcW w:type="pct" w:w="50%"/>
            <w:tcMar>
              <w:top w:type="dxa" w:w="60"/>
              <w:left w:type="dxa" w:w="100"/>
              <w:bottom w:type="dxa" w:w="60"/>
              <w:right w:type="dxa" w:w="100"/>
            </w:tcMar>
          </w:tcPr>
          <w:p>
            <w:pPr>
              <w:spacing w:after="20" w:before="20"/>
            </w:pPr>
            <w:r>
              <w:rPr>
                <w:b w:val="false"/>
                <w:bCs w:val="false"/>
                <w:sz w:val="18"/>
                <w:szCs w:val="18"/>
              </w:rPr>
              <w:t xml:space="preserve">Adaptación a teléfono móvil</w:t>
            </w:r>
          </w:p>
        </w:tc>
        <w:tc>
          <w:tcPr>
            <w:tcW w:type="pct" w:w="50%"/>
            <w:tcMar>
              <w:top w:type="dxa" w:w="60"/>
              <w:left w:type="dxa" w:w="100"/>
              <w:bottom w:type="dxa" w:w="60"/>
              <w:right w:type="dxa" w:w="100"/>
            </w:tcMar>
          </w:tcPr>
          <w:p>
            <w:pPr>
              <w:spacing w:after="20" w:before="20"/>
            </w:pPr>
            <w:r>
              <w:rPr>
                <w:b w:val="false"/>
                <w:bCs w:val="false"/>
                <w:sz w:val="18"/>
                <w:szCs w:val="18"/>
              </w:rPr>
              <w:t xml:space="preserve">Entregado</w:t>
            </w:r>
          </w:p>
        </w:tc>
      </w:tr>
    </w:tbl>
    <w:p>
      <w:pPr>
        <w:spacing w:after="160"/>
      </w:pPr>
    </w:p>
    <w:p>
      <w:pPr>
        <w:spacing w:after="140" w:line="276"/>
        <w:jc w:val="both"/>
      </w:pPr>
      <w:r>
        <w:rPr>
          <w:b/>
          <w:bCs/>
          <w:sz w:val="21"/>
          <w:szCs w:val="21"/>
        </w:rPr>
        <w:t xml:space="preserve">Evidencia:</w:t>
      </w:r>
      <w:r>
        <w:rPr>
          <w:sz w:val="21"/>
          <w:szCs w:val="21"/>
        </w:rPr>
        <w:t xml:space="preserve"> ambiente QA, Documento de Diseño UX/UI y documentación de ClaveÚnica (carpeta </w:t>
      </w:r>
      <w:r>
        <w:rPr>
          <w:rFonts w:ascii="Consolas" w:cs="Consolas" w:eastAsia="Consolas" w:hAnsi="Consolas"/>
          <w:color w:val="A31515"/>
          <w:sz w:val="21"/>
          <w:szCs w:val="21"/>
        </w:rPr>
        <w:t xml:space="preserve">Etapa-4</w:t>
      </w:r>
      <w:r>
        <w:rPr>
          <w:sz w:val="21"/>
          <w:szCs w:val="21"/>
        </w:rPr>
        <w:t xml:space="preserve">).</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4. Etapa 5 — Puesta en Producción y Transferencia</w:t>
      </w:r>
    </w:p>
    <w:p>
      <w:pPr>
        <w:spacing w:after="140" w:line="276"/>
        <w:jc w:val="both"/>
      </w:pPr>
      <w:r>
        <w:rPr>
          <w:b/>
          <w:bCs/>
          <w:sz w:val="21"/>
          <w:szCs w:val="21"/>
        </w:rPr>
        <w:t xml:space="preserve">Productos comprometidos:</w:t>
      </w:r>
      <w:r>
        <w:rPr>
          <w:sz w:val="21"/>
          <w:szCs w:val="21"/>
        </w:rPr>
        <w:t xml:space="preserve"> plataforma 100% operativa, certificados de seguridad vigentes, código fuente completo y manuales finales.</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gridCol w:w="100"/>
      </w:tblGrid>
      <w:tr>
        <w:trPr>
          <w:tblHeader/>
        </w:trPr>
        <w:tc>
          <w:tcPr>
            <w:tcW w:type="pct" w:w="25%"/>
            <w:shd w:fill="DCE6F1" w:val="clear"/>
            <w:tcMar>
              <w:top w:type="dxa" w:w="60"/>
              <w:left w:type="dxa" w:w="100"/>
              <w:bottom w:type="dxa" w:w="60"/>
              <w:right w:type="dxa" w:w="100"/>
            </w:tcMar>
          </w:tcPr>
          <w:p>
            <w:pPr>
              <w:spacing w:after="20" w:before="20"/>
            </w:pPr>
            <w:r>
              <w:rPr>
                <w:b/>
                <w:bCs/>
                <w:sz w:val="18"/>
                <w:szCs w:val="18"/>
              </w:rPr>
              <w:t xml:space="preserve">Producto</w:t>
            </w:r>
          </w:p>
        </w:tc>
        <w:tc>
          <w:tcPr>
            <w:tcW w:type="pct" w:w="25%"/>
            <w:shd w:fill="DCE6F1" w:val="clear"/>
            <w:tcMar>
              <w:top w:type="dxa" w:w="60"/>
              <w:left w:type="dxa" w:w="100"/>
              <w:bottom w:type="dxa" w:w="60"/>
              <w:right w:type="dxa" w:w="100"/>
            </w:tcMar>
          </w:tcPr>
          <w:p>
            <w:pPr>
              <w:spacing w:after="20" w:before="20"/>
            </w:pPr>
            <w:r>
              <w:rPr>
                <w:b/>
                <w:bCs/>
                <w:sz w:val="18"/>
                <w:szCs w:val="18"/>
              </w:rPr>
              <w:t xml:space="preserve">Detalle</w:t>
            </w:r>
          </w:p>
        </w:tc>
        <w:tc>
          <w:tcPr>
            <w:tcW w:type="pct" w:w="25%"/>
            <w:shd w:fill="DCE6F1" w:val="clear"/>
            <w:tcMar>
              <w:top w:type="dxa" w:w="60"/>
              <w:left w:type="dxa" w:w="100"/>
              <w:bottom w:type="dxa" w:w="60"/>
              <w:right w:type="dxa" w:w="100"/>
            </w:tcMar>
          </w:tcPr>
          <w:p>
            <w:pPr>
              <w:spacing w:after="20" w:before="20"/>
            </w:pPr>
            <w:r>
              <w:rPr>
                <w:b/>
                <w:bCs/>
                <w:sz w:val="18"/>
                <w:szCs w:val="18"/>
              </w:rPr>
              <w:t xml:space="preserve">Ubicación en la entrega</w:t>
            </w:r>
          </w:p>
        </w:tc>
        <w:tc>
          <w:tcPr>
            <w:tcW w:type="pct" w:w="25%"/>
            <w:shd w:fill="DCE6F1" w:val="clear"/>
            <w:tcMar>
              <w:top w:type="dxa" w:w="60"/>
              <w:left w:type="dxa" w:w="100"/>
              <w:bottom w:type="dxa" w:w="60"/>
              <w:right w:type="dxa" w:w="100"/>
            </w:tcMar>
          </w:tcPr>
          <w:p>
            <w:pPr>
              <w:spacing w:after="20" w:before="20"/>
            </w:pPr>
            <w:r>
              <w:rPr>
                <w:b/>
                <w:bCs/>
                <w:sz w:val="18"/>
                <w:szCs w:val="18"/>
              </w:rPr>
              <w:t xml:space="preserve">Estado</w:t>
            </w:r>
          </w:p>
        </w:tc>
      </w:tr>
      <w:tr>
        <w:trPr>
          <w:tblHeader w:val="false"/>
        </w:trPr>
        <w:tc>
          <w:tcPr>
            <w:tcW w:type="pct" w:w="25%"/>
            <w:tcMar>
              <w:top w:type="dxa" w:w="60"/>
              <w:left w:type="dxa" w:w="100"/>
              <w:bottom w:type="dxa" w:w="60"/>
              <w:right w:type="dxa" w:w="100"/>
            </w:tcMar>
          </w:tcPr>
          <w:p>
            <w:pPr>
              <w:spacing w:after="20" w:before="20"/>
            </w:pPr>
            <w:r>
              <w:rPr>
                <w:b w:val="false"/>
                <w:bCs w:val="false"/>
                <w:sz w:val="18"/>
                <w:szCs w:val="18"/>
              </w:rPr>
              <w:t xml:space="preserve">Despliegue en AWS con dominio oficial</w:t>
            </w:r>
          </w:p>
        </w:tc>
        <w:tc>
          <w:tcPr>
            <w:tcW w:type="pct" w:w="25%"/>
            <w:tcMar>
              <w:top w:type="dxa" w:w="60"/>
              <w:left w:type="dxa" w:w="100"/>
              <w:bottom w:type="dxa" w:w="60"/>
              <w:right w:type="dxa" w:w="100"/>
            </w:tcMar>
          </w:tcPr>
          <w:p>
            <w:pPr>
              <w:spacing w:after="20" w:before="20"/>
            </w:pPr>
            <w:r>
              <w:rPr>
                <w:b w:val="false"/>
                <w:bCs w:val="false"/>
                <w:sz w:val="18"/>
                <w:szCs w:val="18"/>
              </w:rPr>
              <w:t xml:space="preserve">Cuenta AWS del GORE, región us-east-1. Servidor de aplicación, base de datos MariaDB administrada (RDS) con respaldo diario y 7 días de retención, y almacenamiento privado S3 cifrado</w:t>
            </w:r>
          </w:p>
        </w:tc>
        <w:tc>
          <w:tcPr>
            <w:tcW w:type="pct" w:w="25%"/>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Etapa-5/04-Infraestructura</w:t>
            </w:r>
          </w:p>
        </w:tc>
        <w:tc>
          <w:tcPr>
            <w:tcW w:type="pct" w:w="25%"/>
            <w:tcMar>
              <w:top w:type="dxa" w:w="60"/>
              <w:left w:type="dxa" w:w="100"/>
              <w:bottom w:type="dxa" w:w="60"/>
              <w:right w:type="dxa" w:w="100"/>
            </w:tcMar>
          </w:tcPr>
          <w:p>
            <w:pPr>
              <w:spacing w:after="20" w:before="20"/>
            </w:pPr>
            <w:r>
              <w:rPr>
                <w:b w:val="false"/>
                <w:bCs w:val="false"/>
                <w:sz w:val="18"/>
                <w:szCs w:val="18"/>
              </w:rPr>
              <w:t xml:space="preserve">Entregado</w:t>
            </w:r>
          </w:p>
        </w:tc>
      </w:tr>
      <w:tr>
        <w:trPr>
          <w:tblHeader w:val="false"/>
        </w:trPr>
        <w:tc>
          <w:tcPr>
            <w:tcW w:type="pct" w:w="25%"/>
            <w:tcMar>
              <w:top w:type="dxa" w:w="60"/>
              <w:left w:type="dxa" w:w="100"/>
              <w:bottom w:type="dxa" w:w="60"/>
              <w:right w:type="dxa" w:w="100"/>
            </w:tcMar>
          </w:tcPr>
          <w:p>
            <w:pPr>
              <w:spacing w:after="20" w:before="20"/>
            </w:pPr>
            <w:r>
              <w:rPr>
                <w:b w:val="false"/>
                <w:bCs w:val="false"/>
                <w:sz w:val="18"/>
                <w:szCs w:val="18"/>
              </w:rPr>
              <w:t xml:space="preserve">Certificados de seguridad vigentes</w:t>
            </w:r>
          </w:p>
        </w:tc>
        <w:tc>
          <w:tcPr>
            <w:tcW w:type="pct" w:w="25%"/>
            <w:tcMar>
              <w:top w:type="dxa" w:w="60"/>
              <w:left w:type="dxa" w:w="100"/>
              <w:bottom w:type="dxa" w:w="60"/>
              <w:right w:type="dxa" w:w="100"/>
            </w:tcMar>
          </w:tcPr>
          <w:p>
            <w:pPr>
              <w:spacing w:after="20" w:before="20"/>
            </w:pPr>
            <w:r>
              <w:rPr>
                <w:b w:val="false"/>
                <w:bCs w:val="false"/>
                <w:sz w:val="18"/>
                <w:szCs w:val="18"/>
              </w:rPr>
              <w:t xml:space="preserve">TLS de Let's Encrypt para </w:t>
            </w:r>
            <w:r>
              <w:rPr>
                <w:rFonts w:ascii="Consolas" w:cs="Consolas" w:eastAsia="Consolas" w:hAnsi="Consolas"/>
                <w:b w:val="false"/>
                <w:bCs w:val="false"/>
                <w:color w:val="A31515"/>
                <w:sz w:val="18"/>
                <w:szCs w:val="18"/>
              </w:rPr>
              <w:t xml:space="preserve">participa.gobiernovalparaiso.cl</w:t>
            </w:r>
            <w:r>
              <w:rPr>
                <w:b w:val="false"/>
                <w:bCs w:val="false"/>
                <w:sz w:val="18"/>
                <w:szCs w:val="18"/>
              </w:rPr>
              <w:t xml:space="preserve"> y </w:t>
            </w:r>
            <w:r>
              <w:rPr>
                <w:rFonts w:ascii="Consolas" w:cs="Consolas" w:eastAsia="Consolas" w:hAnsi="Consolas"/>
                <w:b w:val="false"/>
                <w:bCs w:val="false"/>
                <w:color w:val="A31515"/>
                <w:sz w:val="18"/>
                <w:szCs w:val="18"/>
              </w:rPr>
              <w:t xml:space="preserve">www.participa.gobiernovalparaiso.cl</w:t>
            </w:r>
            <w:r>
              <w:rPr>
                <w:b w:val="false"/>
                <w:bCs w:val="false"/>
                <w:sz w:val="18"/>
                <w:szCs w:val="18"/>
              </w:rPr>
              <w:t xml:space="preserve">, vigente hasta el 05-12-2026 con renovación automática. QA vigente hasta el 25-11-2026</w:t>
            </w:r>
          </w:p>
        </w:tc>
        <w:tc>
          <w:tcPr>
            <w:tcW w:type="pct" w:w="25%"/>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Etapa-5/03-Certificados</w:t>
            </w:r>
          </w:p>
        </w:tc>
        <w:tc>
          <w:tcPr>
            <w:tcW w:type="pct" w:w="25%"/>
            <w:tcMar>
              <w:top w:type="dxa" w:w="60"/>
              <w:left w:type="dxa" w:w="100"/>
              <w:bottom w:type="dxa" w:w="60"/>
              <w:right w:type="dxa" w:w="100"/>
            </w:tcMar>
          </w:tcPr>
          <w:p>
            <w:pPr>
              <w:spacing w:after="20" w:before="20"/>
            </w:pPr>
            <w:r>
              <w:rPr>
                <w:b w:val="false"/>
                <w:bCs w:val="false"/>
                <w:sz w:val="18"/>
                <w:szCs w:val="18"/>
              </w:rPr>
              <w:t xml:space="preserve">Entregado</w:t>
            </w:r>
          </w:p>
        </w:tc>
      </w:tr>
      <w:tr>
        <w:trPr>
          <w:tblHeader w:val="false"/>
        </w:trPr>
        <w:tc>
          <w:tcPr>
            <w:tcW w:type="pct" w:w="25%"/>
            <w:tcMar>
              <w:top w:type="dxa" w:w="60"/>
              <w:left w:type="dxa" w:w="100"/>
              <w:bottom w:type="dxa" w:w="60"/>
              <w:right w:type="dxa" w:w="100"/>
            </w:tcMar>
          </w:tcPr>
          <w:p>
            <w:pPr>
              <w:spacing w:after="20" w:before="20"/>
            </w:pPr>
            <w:r>
              <w:rPr>
                <w:b w:val="false"/>
                <w:bCs w:val="false"/>
                <w:sz w:val="18"/>
                <w:szCs w:val="18"/>
              </w:rPr>
              <w:t xml:space="preserve">Código fuente completo</w:t>
            </w:r>
          </w:p>
        </w:tc>
        <w:tc>
          <w:tcPr>
            <w:tcW w:type="pct" w:w="25%"/>
            <w:tcMar>
              <w:top w:type="dxa" w:w="60"/>
              <w:left w:type="dxa" w:w="100"/>
              <w:bottom w:type="dxa" w:w="60"/>
              <w:right w:type="dxa" w:w="100"/>
            </w:tcMar>
          </w:tcPr>
          <w:p>
            <w:pPr>
              <w:spacing w:after="20" w:before="20"/>
            </w:pPr>
            <w:r>
              <w:rPr>
                <w:b w:val="false"/>
                <w:bCs w:val="false"/>
                <w:sz w:val="18"/>
                <w:szCs w:val="18"/>
              </w:rPr>
              <w:t xml:space="preserve">Código de la versión en producción, con la configuración de cada ambiente y las instrucciones de instalación</w:t>
            </w:r>
          </w:p>
        </w:tc>
        <w:tc>
          <w:tcPr>
            <w:tcW w:type="pct" w:w="25%"/>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Etapa-5/01-Codigo-fuente</w:t>
            </w:r>
          </w:p>
        </w:tc>
        <w:tc>
          <w:tcPr>
            <w:tcW w:type="pct" w:w="25%"/>
            <w:tcMar>
              <w:top w:type="dxa" w:w="60"/>
              <w:left w:type="dxa" w:w="100"/>
              <w:bottom w:type="dxa" w:w="60"/>
              <w:right w:type="dxa" w:w="100"/>
            </w:tcMar>
          </w:tcPr>
          <w:p>
            <w:pPr>
              <w:spacing w:after="20" w:before="20"/>
            </w:pPr>
            <w:r>
              <w:rPr>
                <w:b w:val="false"/>
                <w:bCs w:val="false"/>
                <w:sz w:val="18"/>
                <w:szCs w:val="18"/>
              </w:rPr>
              <w:t xml:space="preserve">Entregado</w:t>
            </w:r>
          </w:p>
        </w:tc>
      </w:tr>
      <w:tr>
        <w:trPr>
          <w:tblHeader w:val="false"/>
        </w:trPr>
        <w:tc>
          <w:tcPr>
            <w:tcW w:type="pct" w:w="25%"/>
            <w:tcMar>
              <w:top w:type="dxa" w:w="60"/>
              <w:left w:type="dxa" w:w="100"/>
              <w:bottom w:type="dxa" w:w="60"/>
              <w:right w:type="dxa" w:w="100"/>
            </w:tcMar>
          </w:tcPr>
          <w:p>
            <w:pPr>
              <w:spacing w:after="20" w:before="20"/>
            </w:pPr>
            <w:r>
              <w:rPr>
                <w:b w:val="false"/>
                <w:bCs w:val="false"/>
                <w:sz w:val="18"/>
                <w:szCs w:val="18"/>
              </w:rPr>
              <w:t xml:space="preserve">Manuales finales</w:t>
            </w:r>
          </w:p>
        </w:tc>
        <w:tc>
          <w:tcPr>
            <w:tcW w:type="pct" w:w="25%"/>
            <w:tcMar>
              <w:top w:type="dxa" w:w="60"/>
              <w:left w:type="dxa" w:w="100"/>
              <w:bottom w:type="dxa" w:w="60"/>
              <w:right w:type="dxa" w:w="100"/>
            </w:tcMar>
          </w:tcPr>
          <w:p>
            <w:pPr>
              <w:spacing w:after="20" w:before="20"/>
            </w:pPr>
            <w:r>
              <w:rPr>
                <w:b w:val="false"/>
                <w:bCs w:val="false"/>
                <w:sz w:val="18"/>
                <w:szCs w:val="18"/>
              </w:rPr>
              <w:t xml:space="preserve">Manual de Usuario, Manual del Administrador, Manual de Despliegue y Operación, y Diccionario de Datos y Rutas</w:t>
            </w:r>
          </w:p>
        </w:tc>
        <w:tc>
          <w:tcPr>
            <w:tcW w:type="pct" w:w="25%"/>
            <w:tcMar>
              <w:top w:type="dxa" w:w="60"/>
              <w:left w:type="dxa" w:w="100"/>
              <w:bottom w:type="dxa" w:w="60"/>
              <w:right w:type="dxa" w:w="100"/>
            </w:tcMar>
          </w:tcPr>
          <w:p>
            <w:pPr>
              <w:spacing w:after="20" w:before="20"/>
            </w:pPr>
            <w:r>
              <w:rPr>
                <w:rFonts w:ascii="Consolas" w:cs="Consolas" w:eastAsia="Consolas" w:hAnsi="Consolas"/>
                <w:b w:val="false"/>
                <w:bCs w:val="false"/>
                <w:color w:val="A31515"/>
                <w:sz w:val="18"/>
                <w:szCs w:val="18"/>
              </w:rPr>
              <w:t xml:space="preserve">Etapa-5/02-Manuales</w:t>
            </w:r>
          </w:p>
        </w:tc>
        <w:tc>
          <w:tcPr>
            <w:tcW w:type="pct" w:w="25%"/>
            <w:tcMar>
              <w:top w:type="dxa" w:w="60"/>
              <w:left w:type="dxa" w:w="100"/>
              <w:bottom w:type="dxa" w:w="60"/>
              <w:right w:type="dxa" w:w="100"/>
            </w:tcMar>
          </w:tcPr>
          <w:p>
            <w:pPr>
              <w:spacing w:after="20" w:before="20"/>
            </w:pPr>
            <w:r>
              <w:rPr>
                <w:b w:val="false"/>
                <w:bCs w:val="false"/>
                <w:sz w:val="18"/>
                <w:szCs w:val="18"/>
              </w:rPr>
              <w:t xml:space="preserve">Entregado</w:t>
            </w:r>
          </w:p>
        </w:tc>
      </w:tr>
      <w:tr>
        <w:trPr>
          <w:tblHeader w:val="false"/>
        </w:trPr>
        <w:tc>
          <w:tcPr>
            <w:tcW w:type="pct" w:w="25%"/>
            <w:tcMar>
              <w:top w:type="dxa" w:w="60"/>
              <w:left w:type="dxa" w:w="100"/>
              <w:bottom w:type="dxa" w:w="60"/>
              <w:right w:type="dxa" w:w="100"/>
            </w:tcMar>
          </w:tcPr>
          <w:p>
            <w:pPr>
              <w:spacing w:after="20" w:before="20"/>
            </w:pPr>
            <w:r>
              <w:rPr>
                <w:b w:val="false"/>
                <w:bCs w:val="false"/>
                <w:sz w:val="18"/>
                <w:szCs w:val="18"/>
              </w:rPr>
              <w:t xml:space="preserve">Capacitación a usuarios</w:t>
            </w:r>
          </w:p>
        </w:tc>
        <w:tc>
          <w:tcPr>
            <w:tcW w:type="pct" w:w="25%"/>
            <w:tcMar>
              <w:top w:type="dxa" w:w="60"/>
              <w:left w:type="dxa" w:w="100"/>
              <w:bottom w:type="dxa" w:w="60"/>
              <w:right w:type="dxa" w:w="100"/>
            </w:tcMar>
          </w:tcPr>
          <w:p>
            <w:pPr>
              <w:spacing w:after="20" w:before="20"/>
            </w:pPr>
            <w:r>
              <w:rPr>
                <w:b w:val="false"/>
                <w:bCs w:val="false"/>
                <w:sz w:val="18"/>
                <w:szCs w:val="18"/>
              </w:rPr>
              <w:t xml:space="preserve">Sesión para los funcionarios que operarán el backoffice</w:t>
            </w:r>
          </w:p>
        </w:tc>
        <w:tc>
          <w:tcPr>
            <w:tcW w:type="pct" w:w="25%"/>
            <w:tcMar>
              <w:top w:type="dxa" w:w="60"/>
              <w:left w:type="dxa" w:w="100"/>
              <w:bottom w:type="dxa" w:w="60"/>
              <w:right w:type="dxa" w:w="100"/>
            </w:tcMar>
          </w:tcPr>
          <w:p>
            <w:pPr>
              <w:spacing w:after="20" w:before="20"/>
            </w:pPr>
            <w:r>
              <w:rPr>
                <w:b w:val="false"/>
                <w:bCs w:val="false"/>
                <w:sz w:val="18"/>
                <w:szCs w:val="18"/>
              </w:rPr>
              <w:t xml:space="preserve">—</w:t>
            </w:r>
          </w:p>
        </w:tc>
        <w:tc>
          <w:tcPr>
            <w:tcW w:type="pct" w:w="25%"/>
            <w:tcMar>
              <w:top w:type="dxa" w:w="60"/>
              <w:left w:type="dxa" w:w="100"/>
              <w:bottom w:type="dxa" w:w="60"/>
              <w:right w:type="dxa" w:w="100"/>
            </w:tcMar>
          </w:tcPr>
          <w:p>
            <w:pPr>
              <w:spacing w:after="20" w:before="20"/>
            </w:pPr>
            <w:r>
              <w:rPr>
                <w:b w:val="false"/>
                <w:bCs w:val="false"/>
                <w:sz w:val="18"/>
                <w:szCs w:val="18"/>
              </w:rPr>
              <w:t xml:space="preserve">Por coordinar</w:t>
            </w:r>
          </w:p>
        </w:tc>
      </w:tr>
    </w:tbl>
    <w:p>
      <w:pPr>
        <w:spacing w:after="160"/>
      </w:pP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5. Puntos abiertos y responsables</w:t>
      </w:r>
    </w:p>
    <w:p>
      <w:pPr>
        <w:spacing w:after="140" w:line="276"/>
        <w:jc w:val="both"/>
      </w:pPr>
      <w:r>
        <w:rPr>
          <w:sz w:val="21"/>
          <w:szCs w:val="21"/>
        </w:rPr>
        <w:t xml:space="preserve">Ninguno de estos puntos impide el funcionamiento actual de la plataforma.</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gridCol w:w="100"/>
      </w:tblGrid>
      <w:tr>
        <w:trPr>
          <w:tblHeader/>
        </w:trPr>
        <w:tc>
          <w:tcPr>
            <w:tcW w:type="pct" w:w="25%"/>
            <w:shd w:fill="DCE6F1" w:val="clear"/>
            <w:tcMar>
              <w:top w:type="dxa" w:w="60"/>
              <w:left w:type="dxa" w:w="100"/>
              <w:bottom w:type="dxa" w:w="60"/>
              <w:right w:type="dxa" w:w="100"/>
            </w:tcMar>
          </w:tcPr>
          <w:p>
            <w:pPr>
              <w:spacing w:after="20" w:before="20"/>
            </w:pPr>
            <w:r>
              <w:rPr>
                <w:b/>
                <w:bCs/>
                <w:sz w:val="18"/>
                <w:szCs w:val="18"/>
              </w:rPr>
              <w:t xml:space="preserve">#</w:t>
            </w:r>
          </w:p>
        </w:tc>
        <w:tc>
          <w:tcPr>
            <w:tcW w:type="pct" w:w="25%"/>
            <w:shd w:fill="DCE6F1" w:val="clear"/>
            <w:tcMar>
              <w:top w:type="dxa" w:w="60"/>
              <w:left w:type="dxa" w:w="100"/>
              <w:bottom w:type="dxa" w:w="60"/>
              <w:right w:type="dxa" w:w="100"/>
            </w:tcMar>
          </w:tcPr>
          <w:p>
            <w:pPr>
              <w:spacing w:after="20" w:before="20"/>
            </w:pPr>
            <w:r>
              <w:rPr>
                <w:b/>
                <w:bCs/>
                <w:sz w:val="18"/>
                <w:szCs w:val="18"/>
              </w:rPr>
              <w:t xml:space="preserve">Punto</w:t>
            </w:r>
          </w:p>
        </w:tc>
        <w:tc>
          <w:tcPr>
            <w:tcW w:type="pct" w:w="25%"/>
            <w:shd w:fill="DCE6F1" w:val="clear"/>
            <w:tcMar>
              <w:top w:type="dxa" w:w="60"/>
              <w:left w:type="dxa" w:w="100"/>
              <w:bottom w:type="dxa" w:w="60"/>
              <w:right w:type="dxa" w:w="100"/>
            </w:tcMar>
          </w:tcPr>
          <w:p>
            <w:pPr>
              <w:spacing w:after="20" w:before="20"/>
            </w:pPr>
            <w:r>
              <w:rPr>
                <w:b/>
                <w:bCs/>
                <w:sz w:val="18"/>
                <w:szCs w:val="18"/>
              </w:rPr>
              <w:t xml:space="preserve">Qué falta</w:t>
            </w:r>
          </w:p>
        </w:tc>
        <w:tc>
          <w:tcPr>
            <w:tcW w:type="pct" w:w="25%"/>
            <w:shd w:fill="DCE6F1" w:val="clear"/>
            <w:tcMar>
              <w:top w:type="dxa" w:w="60"/>
              <w:left w:type="dxa" w:w="100"/>
              <w:bottom w:type="dxa" w:w="60"/>
              <w:right w:type="dxa" w:w="100"/>
            </w:tcMar>
          </w:tcPr>
          <w:p>
            <w:pPr>
              <w:spacing w:after="20" w:before="20"/>
            </w:pPr>
            <w:r>
              <w:rPr>
                <w:b/>
                <w:bCs/>
                <w:sz w:val="18"/>
                <w:szCs w:val="18"/>
              </w:rPr>
              <w:t xml:space="preserve">Depende de</w:t>
            </w:r>
          </w:p>
        </w:tc>
      </w:tr>
      <w:tr>
        <w:trPr>
          <w:tblHeader w:val="false"/>
        </w:trPr>
        <w:tc>
          <w:tcPr>
            <w:tcW w:type="pct" w:w="25%"/>
            <w:tcMar>
              <w:top w:type="dxa" w:w="60"/>
              <w:left w:type="dxa" w:w="100"/>
              <w:bottom w:type="dxa" w:w="60"/>
              <w:right w:type="dxa" w:w="100"/>
            </w:tcMar>
          </w:tcPr>
          <w:p>
            <w:pPr>
              <w:spacing w:after="20" w:before="20"/>
            </w:pPr>
            <w:r>
              <w:rPr>
                <w:b w:val="false"/>
                <w:bCs w:val="false"/>
                <w:sz w:val="18"/>
                <w:szCs w:val="18"/>
              </w:rPr>
              <w:t xml:space="preserve">1</w:t>
            </w:r>
          </w:p>
        </w:tc>
        <w:tc>
          <w:tcPr>
            <w:tcW w:type="pct" w:w="25%"/>
            <w:tcMar>
              <w:top w:type="dxa" w:w="60"/>
              <w:left w:type="dxa" w:w="100"/>
              <w:bottom w:type="dxa" w:w="60"/>
              <w:right w:type="dxa" w:w="100"/>
            </w:tcMar>
          </w:tcPr>
          <w:p>
            <w:pPr>
              <w:spacing w:after="20" w:before="20"/>
            </w:pPr>
            <w:r>
              <w:rPr>
                <w:b w:val="false"/>
                <w:bCs w:val="false"/>
                <w:sz w:val="18"/>
                <w:szCs w:val="18"/>
              </w:rPr>
              <w:t xml:space="preserve">Envío de correos (Amazon SES)</w:t>
            </w:r>
          </w:p>
        </w:tc>
        <w:tc>
          <w:tcPr>
            <w:tcW w:type="pct" w:w="25%"/>
            <w:tcMar>
              <w:top w:type="dxa" w:w="60"/>
              <w:left w:type="dxa" w:w="100"/>
              <w:bottom w:type="dxa" w:w="60"/>
              <w:right w:type="dxa" w:w="100"/>
            </w:tcMar>
          </w:tcPr>
          <w:p>
            <w:pPr>
              <w:spacing w:after="20" w:before="20"/>
            </w:pPr>
            <w:r>
              <w:rPr>
                <w:b w:val="false"/>
                <w:bCs w:val="false"/>
                <w:sz w:val="18"/>
                <w:szCs w:val="18"/>
              </w:rPr>
              <w:t xml:space="preserve">Publicar en el DNS del dominio los 3 registros DKIM ya informados. Con eso AWNA activa el envío. Mientras tanto, las respuestas se publican en el portal y la notificación queda registrada en el servidor</w:t>
            </w:r>
          </w:p>
        </w:tc>
        <w:tc>
          <w:tcPr>
            <w:tcW w:type="pct" w:w="25%"/>
            <w:tcMar>
              <w:top w:type="dxa" w:w="60"/>
              <w:left w:type="dxa" w:w="100"/>
              <w:bottom w:type="dxa" w:w="60"/>
              <w:right w:type="dxa" w:w="100"/>
            </w:tcMar>
          </w:tcPr>
          <w:p>
            <w:pPr>
              <w:spacing w:after="20" w:before="20"/>
            </w:pPr>
            <w:r>
              <w:rPr>
                <w:b w:val="false"/>
                <w:bCs w:val="false"/>
                <w:sz w:val="18"/>
                <w:szCs w:val="18"/>
              </w:rPr>
              <w:t xml:space="preserve">Informática GORE (DNS)</w:t>
            </w:r>
          </w:p>
        </w:tc>
      </w:tr>
      <w:tr>
        <w:trPr>
          <w:tblHeader w:val="false"/>
        </w:trPr>
        <w:tc>
          <w:tcPr>
            <w:tcW w:type="pct" w:w="25%"/>
            <w:tcMar>
              <w:top w:type="dxa" w:w="60"/>
              <w:left w:type="dxa" w:w="100"/>
              <w:bottom w:type="dxa" w:w="60"/>
              <w:right w:type="dxa" w:w="100"/>
            </w:tcMar>
          </w:tcPr>
          <w:p>
            <w:pPr>
              <w:spacing w:after="20" w:before="20"/>
            </w:pPr>
            <w:r>
              <w:rPr>
                <w:b w:val="false"/>
                <w:bCs w:val="false"/>
                <w:sz w:val="18"/>
                <w:szCs w:val="18"/>
              </w:rPr>
              <w:t xml:space="preserve">2</w:t>
            </w:r>
          </w:p>
        </w:tc>
        <w:tc>
          <w:tcPr>
            <w:tcW w:type="pct" w:w="25%"/>
            <w:tcMar>
              <w:top w:type="dxa" w:w="60"/>
              <w:left w:type="dxa" w:w="100"/>
              <w:bottom w:type="dxa" w:w="60"/>
              <w:right w:type="dxa" w:w="100"/>
            </w:tcMar>
          </w:tcPr>
          <w:p>
            <w:pPr>
              <w:spacing w:after="20" w:before="20"/>
            </w:pPr>
            <w:r>
              <w:rPr>
                <w:b w:val="false"/>
                <w:bCs w:val="false"/>
                <w:sz w:val="18"/>
                <w:szCs w:val="18"/>
              </w:rPr>
              <w:t xml:space="preserve">ClaveÚnica en producción</w:t>
            </w:r>
          </w:p>
        </w:tc>
        <w:tc>
          <w:tcPr>
            <w:tcW w:type="pct" w:w="25%"/>
            <w:tcMar>
              <w:top w:type="dxa" w:w="60"/>
              <w:left w:type="dxa" w:w="100"/>
              <w:bottom w:type="dxa" w:w="60"/>
              <w:right w:type="dxa" w:w="100"/>
            </w:tcMar>
          </w:tcPr>
          <w:p>
            <w:pPr>
              <w:spacing w:after="20" w:before="20"/>
            </w:pPr>
            <w:r>
              <w:rPr>
                <w:b w:val="false"/>
                <w:bCs w:val="false"/>
                <w:sz w:val="18"/>
                <w:szCs w:val="18"/>
              </w:rPr>
              <w:t xml:space="preserve">La integración está activada en producción con las credenciales de producción. Queda confirmar con la Secretaría de Gobierno Digital que la certificación de la institución está aprobada, porque de ella depende que el ingreso de ciudadanos reales funcione</w:t>
            </w:r>
          </w:p>
        </w:tc>
        <w:tc>
          <w:tcPr>
            <w:tcW w:type="pct" w:w="25%"/>
            <w:tcMar>
              <w:top w:type="dxa" w:w="60"/>
              <w:left w:type="dxa" w:w="100"/>
              <w:bottom w:type="dxa" w:w="60"/>
              <w:right w:type="dxa" w:w="100"/>
            </w:tcMar>
          </w:tcPr>
          <w:p>
            <w:pPr>
              <w:spacing w:after="20" w:before="20"/>
            </w:pPr>
            <w:r>
              <w:rPr>
                <w:b w:val="false"/>
                <w:bCs w:val="false"/>
                <w:sz w:val="18"/>
                <w:szCs w:val="18"/>
              </w:rPr>
              <w:t xml:space="preserve">GORE / Gobierno Digital</w:t>
            </w:r>
          </w:p>
        </w:tc>
      </w:tr>
      <w:tr>
        <w:trPr>
          <w:tblHeader w:val="false"/>
        </w:trPr>
        <w:tc>
          <w:tcPr>
            <w:tcW w:type="pct" w:w="25%"/>
            <w:tcMar>
              <w:top w:type="dxa" w:w="60"/>
              <w:left w:type="dxa" w:w="100"/>
              <w:bottom w:type="dxa" w:w="60"/>
              <w:right w:type="dxa" w:w="100"/>
            </w:tcMar>
          </w:tcPr>
          <w:p>
            <w:pPr>
              <w:spacing w:after="20" w:before="20"/>
            </w:pPr>
            <w:r>
              <w:rPr>
                <w:b w:val="false"/>
                <w:bCs w:val="false"/>
                <w:sz w:val="18"/>
                <w:szCs w:val="18"/>
              </w:rPr>
              <w:t xml:space="preserve">3</w:t>
            </w:r>
          </w:p>
        </w:tc>
        <w:tc>
          <w:tcPr>
            <w:tcW w:type="pct" w:w="25%"/>
            <w:tcMar>
              <w:top w:type="dxa" w:w="60"/>
              <w:left w:type="dxa" w:w="100"/>
              <w:bottom w:type="dxa" w:w="60"/>
              <w:right w:type="dxa" w:w="100"/>
            </w:tcMar>
          </w:tcPr>
          <w:p>
            <w:pPr>
              <w:spacing w:after="20" w:before="20"/>
            </w:pPr>
            <w:r>
              <w:rPr>
                <w:b w:val="false"/>
                <w:bCs w:val="false"/>
                <w:sz w:val="18"/>
                <w:szCs w:val="18"/>
              </w:rPr>
              <w:t xml:space="preserve">Capacitación</w:t>
            </w:r>
          </w:p>
        </w:tc>
        <w:tc>
          <w:tcPr>
            <w:tcW w:type="pct" w:w="25%"/>
            <w:tcMar>
              <w:top w:type="dxa" w:w="60"/>
              <w:left w:type="dxa" w:w="100"/>
              <w:bottom w:type="dxa" w:w="60"/>
              <w:right w:type="dxa" w:w="100"/>
            </w:tcMar>
          </w:tcPr>
          <w:p>
            <w:pPr>
              <w:spacing w:after="20" w:before="20"/>
            </w:pPr>
            <w:r>
              <w:rPr>
                <w:b w:val="false"/>
                <w:bCs w:val="false"/>
                <w:sz w:val="18"/>
                <w:szCs w:val="18"/>
              </w:rPr>
              <w:t xml:space="preserve">Acordar fecha y participantes</w:t>
            </w:r>
          </w:p>
        </w:tc>
        <w:tc>
          <w:tcPr>
            <w:tcW w:type="pct" w:w="25%"/>
            <w:tcMar>
              <w:top w:type="dxa" w:w="60"/>
              <w:left w:type="dxa" w:w="100"/>
              <w:bottom w:type="dxa" w:w="60"/>
              <w:right w:type="dxa" w:w="100"/>
            </w:tcMar>
          </w:tcPr>
          <w:p>
            <w:pPr>
              <w:spacing w:after="20" w:before="20"/>
            </w:pPr>
            <w:r>
              <w:rPr>
                <w:b w:val="false"/>
                <w:bCs w:val="false"/>
                <w:sz w:val="18"/>
                <w:szCs w:val="18"/>
              </w:rPr>
              <w:t xml:space="preserve">GORE y AWNA</w:t>
            </w:r>
          </w:p>
        </w:tc>
      </w:tr>
      <w:tr>
        <w:trPr>
          <w:tblHeader w:val="false"/>
        </w:trPr>
        <w:tc>
          <w:tcPr>
            <w:tcW w:type="pct" w:w="25%"/>
            <w:tcMar>
              <w:top w:type="dxa" w:w="60"/>
              <w:left w:type="dxa" w:w="100"/>
              <w:bottom w:type="dxa" w:w="60"/>
              <w:right w:type="dxa" w:w="100"/>
            </w:tcMar>
          </w:tcPr>
          <w:p>
            <w:pPr>
              <w:spacing w:after="20" w:before="20"/>
            </w:pPr>
            <w:r>
              <w:rPr>
                <w:b w:val="false"/>
                <w:bCs w:val="false"/>
                <w:sz w:val="18"/>
                <w:szCs w:val="18"/>
              </w:rPr>
              <w:t xml:space="preserve">4</w:t>
            </w:r>
          </w:p>
        </w:tc>
        <w:tc>
          <w:tcPr>
            <w:tcW w:type="pct" w:w="25%"/>
            <w:tcMar>
              <w:top w:type="dxa" w:w="60"/>
              <w:left w:type="dxa" w:w="100"/>
              <w:bottom w:type="dxa" w:w="60"/>
              <w:right w:type="dxa" w:w="100"/>
            </w:tcMar>
          </w:tcPr>
          <w:p>
            <w:pPr>
              <w:spacing w:after="20" w:before="20"/>
            </w:pPr>
            <w:r>
              <w:rPr>
                <w:b w:val="false"/>
                <w:bCs w:val="false"/>
                <w:sz w:val="18"/>
                <w:szCs w:val="18"/>
              </w:rPr>
              <w:t xml:space="preserve">Mejoras de infraestructura opcionales</w:t>
            </w:r>
          </w:p>
        </w:tc>
        <w:tc>
          <w:tcPr>
            <w:tcW w:type="pct" w:w="25%"/>
            <w:tcMar>
              <w:top w:type="dxa" w:w="60"/>
              <w:left w:type="dxa" w:w="100"/>
              <w:bottom w:type="dxa" w:w="60"/>
              <w:right w:type="dxa" w:w="100"/>
            </w:tcMar>
          </w:tcPr>
          <w:p>
            <w:pPr>
              <w:spacing w:after="20" w:before="20"/>
            </w:pPr>
            <w:r>
              <w:rPr>
                <w:b w:val="false"/>
                <w:bCs w:val="false"/>
                <w:sz w:val="18"/>
                <w:szCs w:val="18"/>
              </w:rPr>
              <w:t xml:space="preserve">Base de datos en alta disponibilidad (Multi-AZ), alarmas de monitoreo y firewall de aplicación. Están descritas en el Manual de Despliegue</w:t>
            </w:r>
          </w:p>
        </w:tc>
        <w:tc>
          <w:tcPr>
            <w:tcW w:type="pct" w:w="25%"/>
            <w:tcMar>
              <w:top w:type="dxa" w:w="60"/>
              <w:left w:type="dxa" w:w="100"/>
              <w:bottom w:type="dxa" w:w="60"/>
              <w:right w:type="dxa" w:w="100"/>
            </w:tcMar>
          </w:tcPr>
          <w:p>
            <w:pPr>
              <w:spacing w:after="20" w:before="20"/>
            </w:pPr>
            <w:r>
              <w:rPr>
                <w:b w:val="false"/>
                <w:bCs w:val="false"/>
                <w:sz w:val="18"/>
                <w:szCs w:val="18"/>
              </w:rPr>
              <w:t xml:space="preserve">Decisión del GORE</w:t>
            </w:r>
          </w:p>
        </w:tc>
      </w:tr>
      <w:tr>
        <w:trPr>
          <w:tblHeader w:val="false"/>
        </w:trPr>
        <w:tc>
          <w:tcPr>
            <w:tcW w:type="pct" w:w="25%"/>
            <w:tcMar>
              <w:top w:type="dxa" w:w="60"/>
              <w:left w:type="dxa" w:w="100"/>
              <w:bottom w:type="dxa" w:w="60"/>
              <w:right w:type="dxa" w:w="100"/>
            </w:tcMar>
          </w:tcPr>
          <w:p>
            <w:pPr>
              <w:spacing w:after="20" w:before="20"/>
            </w:pPr>
            <w:r>
              <w:rPr>
                <w:b w:val="false"/>
                <w:bCs w:val="false"/>
                <w:sz w:val="18"/>
                <w:szCs w:val="18"/>
              </w:rPr>
              <w:t xml:space="preserve">5</w:t>
            </w:r>
          </w:p>
        </w:tc>
        <w:tc>
          <w:tcPr>
            <w:tcW w:type="pct" w:w="25%"/>
            <w:tcMar>
              <w:top w:type="dxa" w:w="60"/>
              <w:left w:type="dxa" w:w="100"/>
              <w:bottom w:type="dxa" w:w="60"/>
              <w:right w:type="dxa" w:w="100"/>
            </w:tcMar>
          </w:tcPr>
          <w:p>
            <w:pPr>
              <w:spacing w:after="20" w:before="20"/>
            </w:pPr>
            <w:r>
              <w:rPr>
                <w:b w:val="false"/>
                <w:bCs w:val="false"/>
                <w:sz w:val="18"/>
                <w:szCs w:val="18"/>
              </w:rPr>
              <w:t xml:space="preserve">Credenciales de acceso</w:t>
            </w:r>
          </w:p>
        </w:tc>
        <w:tc>
          <w:tcPr>
            <w:tcW w:type="pct" w:w="25%"/>
            <w:tcMar>
              <w:top w:type="dxa" w:w="60"/>
              <w:left w:type="dxa" w:w="100"/>
              <w:bottom w:type="dxa" w:w="60"/>
              <w:right w:type="dxa" w:w="100"/>
            </w:tcMar>
          </w:tcPr>
          <w:p>
            <w:pPr>
              <w:spacing w:after="20" w:before="20"/>
            </w:pPr>
            <w:r>
              <w:rPr>
                <w:b w:val="false"/>
                <w:bCs w:val="false"/>
                <w:sz w:val="18"/>
                <w:szCs w:val="18"/>
              </w:rPr>
              <w:t xml:space="preserve">Rotar las claves de acceso a AWS del usuario de AWNA al cierre de la transferencia y limitar sus permisos</w:t>
            </w:r>
          </w:p>
        </w:tc>
        <w:tc>
          <w:tcPr>
            <w:tcW w:type="pct" w:w="25%"/>
            <w:tcMar>
              <w:top w:type="dxa" w:w="60"/>
              <w:left w:type="dxa" w:w="100"/>
              <w:bottom w:type="dxa" w:w="60"/>
              <w:right w:type="dxa" w:w="100"/>
            </w:tcMar>
          </w:tcPr>
          <w:p>
            <w:pPr>
              <w:spacing w:after="20" w:before="20"/>
            </w:pPr>
            <w:r>
              <w:rPr>
                <w:b w:val="false"/>
                <w:bCs w:val="false"/>
                <w:sz w:val="18"/>
                <w:szCs w:val="18"/>
              </w:rPr>
              <w:t xml:space="preserve">Informática GORE y AWNA</w:t>
            </w:r>
          </w:p>
        </w:tc>
      </w:tr>
    </w:tbl>
    <w:p>
      <w:pPr>
        <w:spacing w:after="160"/>
      </w:pP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6. Contenido de la entrega</w:t>
      </w:r>
    </w:p>
    <w:p>
      <w:pPr>
        <w:shd w:fill="F2F2F2" w:val="clear"/>
        <w:spacing w:after="0" w:before="120"/>
      </w:pPr>
      <w:r>
        <w:rPr>
          <w:rFonts w:ascii="Consolas" w:cs="Consolas" w:eastAsia="Consolas" w:hAnsi="Consolas"/>
          <w:sz w:val="17"/>
          <w:szCs w:val="17"/>
        </w:rPr>
        <w:t xml:space="preserve">Entrega-Final-GORE-Valparaiso/</w:t>
      </w:r>
    </w:p>
    <w:p>
      <w:pPr>
        <w:shd w:fill="F2F2F2" w:val="clear"/>
        <w:spacing w:after="0" w:before="0"/>
      </w:pPr>
      <w:r>
        <w:rPr>
          <w:rFonts w:ascii="Consolas" w:cs="Consolas" w:eastAsia="Consolas" w:hAnsi="Consolas"/>
          <w:sz w:val="17"/>
          <w:szCs w:val="17"/>
        </w:rPr>
        <w:t xml:space="preserve">├── 00-Acta-de-Entrega.docx / .pdf</w:t>
      </w:r>
    </w:p>
    <w:p>
      <w:pPr>
        <w:shd w:fill="F2F2F2" w:val="clear"/>
        <w:spacing w:after="0" w:before="0"/>
      </w:pPr>
      <w:r>
        <w:rPr>
          <w:rFonts w:ascii="Consolas" w:cs="Consolas" w:eastAsia="Consolas" w:hAnsi="Consolas"/>
          <w:sz w:val="17"/>
          <w:szCs w:val="17"/>
        </w:rPr>
        <w:t xml:space="preserve">├── Etapa-3-Core-Gestor-Backoffice/</w:t>
      </w:r>
    </w:p>
    <w:p>
      <w:pPr>
        <w:shd w:fill="F2F2F2" w:val="clear"/>
        <w:spacing w:after="0" w:before="0"/>
      </w:pPr>
      <w:r>
        <w:rPr>
          <w:rFonts w:ascii="Consolas" w:cs="Consolas" w:eastAsia="Consolas" w:hAnsi="Consolas"/>
          <w:sz w:val="17"/>
          <w:szCs w:val="17"/>
        </w:rPr>
        <w:t xml:space="preserve">├── Etapa-4-Portal-y-Participacion/</w:t>
      </w:r>
    </w:p>
    <w:p>
      <w:pPr>
        <w:shd w:fill="F2F2F2" w:val="clear"/>
        <w:spacing w:after="0" w:before="0"/>
      </w:pPr>
      <w:r>
        <w:rPr>
          <w:rFonts w:ascii="Consolas" w:cs="Consolas" w:eastAsia="Consolas" w:hAnsi="Consolas"/>
          <w:sz w:val="17"/>
          <w:szCs w:val="17"/>
        </w:rPr>
        <w:t xml:space="preserve">├── Etapa-5-Produccion-y-Transferencia/</w:t>
      </w:r>
    </w:p>
    <w:p>
      <w:pPr>
        <w:shd w:fill="F2F2F2" w:val="clear"/>
        <w:spacing w:after="0" w:before="0"/>
      </w:pPr>
      <w:r>
        <w:rPr>
          <w:rFonts w:ascii="Consolas" w:cs="Consolas" w:eastAsia="Consolas" w:hAnsi="Consolas"/>
          <w:sz w:val="17"/>
          <w:szCs w:val="17"/>
        </w:rPr>
        <w:t xml:space="preserve">│   ├── 01-Codigo-fuente/</w:t>
      </w:r>
    </w:p>
    <w:p>
      <w:pPr>
        <w:shd w:fill="F2F2F2" w:val="clear"/>
        <w:spacing w:after="0" w:before="0"/>
      </w:pPr>
      <w:r>
        <w:rPr>
          <w:rFonts w:ascii="Consolas" w:cs="Consolas" w:eastAsia="Consolas" w:hAnsi="Consolas"/>
          <w:sz w:val="17"/>
          <w:szCs w:val="17"/>
        </w:rPr>
        <w:t xml:space="preserve">│   ├── 02-Manuales/</w:t>
      </w:r>
    </w:p>
    <w:p>
      <w:pPr>
        <w:shd w:fill="F2F2F2" w:val="clear"/>
        <w:spacing w:after="0" w:before="0"/>
      </w:pPr>
      <w:r>
        <w:rPr>
          <w:rFonts w:ascii="Consolas" w:cs="Consolas" w:eastAsia="Consolas" w:hAnsi="Consolas"/>
          <w:sz w:val="17"/>
          <w:szCs w:val="17"/>
        </w:rPr>
        <w:t xml:space="preserve">│   ├── 03-Certificados/</w:t>
      </w:r>
    </w:p>
    <w:p>
      <w:pPr>
        <w:shd w:fill="F2F2F2" w:val="clear"/>
        <w:spacing w:after="0" w:before="0"/>
      </w:pPr>
      <w:r>
        <w:rPr>
          <w:rFonts w:ascii="Consolas" w:cs="Consolas" w:eastAsia="Consolas" w:hAnsi="Consolas"/>
          <w:sz w:val="17"/>
          <w:szCs w:val="17"/>
        </w:rPr>
        <w:t xml:space="preserve">│   └── 04-Infraestructura/</w:t>
      </w:r>
    </w:p>
    <w:p>
      <w:pPr>
        <w:shd w:fill="F2F2F2" w:val="clear"/>
        <w:spacing w:after="160" w:before="0"/>
      </w:pPr>
      <w:r>
        <w:rPr>
          <w:rFonts w:ascii="Consolas" w:cs="Consolas" w:eastAsia="Consolas" w:hAnsi="Consolas"/>
          <w:sz w:val="17"/>
          <w:szCs w:val="17"/>
        </w:rPr>
        <w:t xml:space="preserve">└── Anexos-Etapas-1-y-2/</w:t>
      </w:r>
    </w:p>
    <w:p>
      <w:pPr>
        <w:spacing w:after="140" w:line="276"/>
        <w:jc w:val="both"/>
      </w:pPr>
      <w:r>
        <w:rPr>
          <w:sz w:val="21"/>
          <w:szCs w:val="21"/>
        </w:rPr>
        <w:t xml:space="preserve">El código y la configuración de los ambientes contienen credenciales. Deben guardarse en un lugar de acceso restringido y no reenviarse por correo.</w:t>
      </w:r>
    </w:p>
    <w:p>
      <w:pPr>
        <w:pBdr>
          <w:bottom w:val="single" w:color="D9D9D9" w:sz="6" w:space="1"/>
        </w:pBdr>
        <w:spacing w:after="120" w:before="120"/>
      </w:pPr>
      <w:r>
        <w:t xml:space="preserve"/>
      </w:r>
    </w:p>
    <w:p>
      <w:pPr>
        <w:pStyle w:val="Heading1"/>
        <w:spacing w:after="160" w:before="300"/>
      </w:pPr>
      <w:r>
        <w:rPr>
          <w:rFonts w:ascii="Calibri" w:cs="Calibri" w:eastAsia="Calibri" w:hAnsi="Calibri"/>
          <w:b/>
          <w:bCs/>
          <w:color w:val="1F3864"/>
          <w:sz w:val="30"/>
          <w:szCs w:val="30"/>
        </w:rPr>
        <w:t xml:space="preserve">7. Recepción conforme</w:t>
      </w:r>
    </w:p>
    <w:tbl>
      <w:tblPr>
        <w:tblW w:type="pct" w:w="100%"/>
        <w:tblBorders>
          <w:top w:val="single" w:color="BFBFBF" w:sz="4"/>
          <w:left w:val="single" w:color="BFBFBF" w:sz="4"/>
          <w:bottom w:val="single" w:color="BFBFBF" w:sz="4"/>
          <w:right w:val="single" w:color="BFBFBF" w:sz="4"/>
          <w:insideH w:val="single" w:color="D9D9D9" w:sz="2"/>
          <w:insideV w:val="single" w:color="D9D9D9" w:sz="2"/>
        </w:tblBorders>
      </w:tblPr>
      <w:tblGrid>
        <w:gridCol w:w="100"/>
        <w:gridCol w:w="100"/>
        <w:gridCol w:w="100"/>
        <w:gridCol w:w="100"/>
        <w:gridCol w:w="100"/>
      </w:tblGrid>
      <w:tr>
        <w:trPr>
          <w:tblHeader/>
        </w:trPr>
        <w:tc>
          <w:tcPr>
            <w:tcW w:type="pct" w:w="20%"/>
            <w:shd w:fill="DCE6F1" w:val="clear"/>
            <w:tcMar>
              <w:top w:type="dxa" w:w="60"/>
              <w:left w:type="dxa" w:w="100"/>
              <w:bottom w:type="dxa" w:w="60"/>
              <w:right w:type="dxa" w:w="100"/>
            </w:tcMar>
          </w:tcPr>
          <w:p>
            <w:pPr>
              <w:spacing w:after="20" w:before="20"/>
            </w:pPr>
            <w:r>
              <w:rPr>
                <w:b/>
                <w:bCs/>
                <w:sz w:val="18"/>
                <w:szCs w:val="18"/>
              </w:rPr>
              <w:t xml:space="preserve"/>
            </w:r>
          </w:p>
        </w:tc>
        <w:tc>
          <w:tcPr>
            <w:tcW w:type="pct" w:w="20%"/>
            <w:shd w:fill="DCE6F1" w:val="clear"/>
            <w:tcMar>
              <w:top w:type="dxa" w:w="60"/>
              <w:left w:type="dxa" w:w="100"/>
              <w:bottom w:type="dxa" w:w="60"/>
              <w:right w:type="dxa" w:w="100"/>
            </w:tcMar>
          </w:tcPr>
          <w:p>
            <w:pPr>
              <w:spacing w:after="20" w:before="20"/>
            </w:pPr>
            <w:r>
              <w:rPr>
                <w:b/>
                <w:bCs/>
                <w:sz w:val="18"/>
                <w:szCs w:val="18"/>
              </w:rPr>
              <w:t xml:space="preserve">Nombre</w:t>
            </w:r>
          </w:p>
        </w:tc>
        <w:tc>
          <w:tcPr>
            <w:tcW w:type="pct" w:w="20%"/>
            <w:shd w:fill="DCE6F1" w:val="clear"/>
            <w:tcMar>
              <w:top w:type="dxa" w:w="60"/>
              <w:left w:type="dxa" w:w="100"/>
              <w:bottom w:type="dxa" w:w="60"/>
              <w:right w:type="dxa" w:w="100"/>
            </w:tcMar>
          </w:tcPr>
          <w:p>
            <w:pPr>
              <w:spacing w:after="20" w:before="20"/>
            </w:pPr>
            <w:r>
              <w:rPr>
                <w:b/>
                <w:bCs/>
                <w:sz w:val="18"/>
                <w:szCs w:val="18"/>
              </w:rPr>
              <w:t xml:space="preserve">Cargo</w:t>
            </w:r>
          </w:p>
        </w:tc>
        <w:tc>
          <w:tcPr>
            <w:tcW w:type="pct" w:w="20%"/>
            <w:shd w:fill="DCE6F1" w:val="clear"/>
            <w:tcMar>
              <w:top w:type="dxa" w:w="60"/>
              <w:left w:type="dxa" w:w="100"/>
              <w:bottom w:type="dxa" w:w="60"/>
              <w:right w:type="dxa" w:w="100"/>
            </w:tcMar>
          </w:tcPr>
          <w:p>
            <w:pPr>
              <w:spacing w:after="20" w:before="20"/>
            </w:pPr>
            <w:r>
              <w:rPr>
                <w:b/>
                <w:bCs/>
                <w:sz w:val="18"/>
                <w:szCs w:val="18"/>
              </w:rPr>
              <w:t xml:space="preserve">Firma</w:t>
            </w:r>
          </w:p>
        </w:tc>
        <w:tc>
          <w:tcPr>
            <w:tcW w:type="pct" w:w="20%"/>
            <w:shd w:fill="DCE6F1" w:val="clear"/>
            <w:tcMar>
              <w:top w:type="dxa" w:w="60"/>
              <w:left w:type="dxa" w:w="100"/>
              <w:bottom w:type="dxa" w:w="60"/>
              <w:right w:type="dxa" w:w="100"/>
            </w:tcMar>
          </w:tcPr>
          <w:p>
            <w:pPr>
              <w:spacing w:after="20" w:before="20"/>
            </w:pPr>
            <w:r>
              <w:rPr>
                <w:b/>
                <w:bCs/>
                <w:sz w:val="18"/>
                <w:szCs w:val="18"/>
              </w:rPr>
              <w:t xml:space="preserve">Fecha</w:t>
            </w:r>
          </w:p>
        </w:tc>
      </w:tr>
      <w:tr>
        <w:trPr>
          <w:tblHeader w:val="false"/>
        </w:trPr>
        <w:tc>
          <w:tcPr>
            <w:tcW w:type="pct" w:w="20%"/>
            <w:tcMar>
              <w:top w:type="dxa" w:w="60"/>
              <w:left w:type="dxa" w:w="100"/>
              <w:bottom w:type="dxa" w:w="60"/>
              <w:right w:type="dxa" w:w="100"/>
            </w:tcMar>
          </w:tcPr>
          <w:p>
            <w:pPr>
              <w:spacing w:after="20" w:before="20"/>
            </w:pPr>
            <w:r>
              <w:rPr>
                <w:b w:val="false"/>
                <w:bCs w:val="false"/>
                <w:sz w:val="18"/>
                <w:szCs w:val="18"/>
              </w:rPr>
              <w:t xml:space="preserve">Entrega (AWNA)</w:t>
            </w:r>
          </w:p>
        </w:tc>
        <w:tc>
          <w:tcPr>
            <w:tcW w:type="pct" w:w="20%"/>
            <w:tcMar>
              <w:top w:type="dxa" w:w="60"/>
              <w:left w:type="dxa" w:w="100"/>
              <w:bottom w:type="dxa" w:w="60"/>
              <w:right w:type="dxa" w:w="100"/>
            </w:tcMar>
          </w:tcPr>
          <w:p>
            <w:pPr>
              <w:spacing w:after="20" w:before="20"/>
            </w:pPr>
            <w:r>
              <w:rPr>
                <w:b w:val="false"/>
                <w:bCs w:val="false"/>
                <w:sz w:val="18"/>
                <w:szCs w:val="18"/>
              </w:rPr>
              <w:t xml:space="preserve"/>
            </w:r>
          </w:p>
        </w:tc>
        <w:tc>
          <w:tcPr>
            <w:tcW w:type="pct" w:w="20%"/>
            <w:tcMar>
              <w:top w:type="dxa" w:w="60"/>
              <w:left w:type="dxa" w:w="100"/>
              <w:bottom w:type="dxa" w:w="60"/>
              <w:right w:type="dxa" w:w="100"/>
            </w:tcMar>
          </w:tcPr>
          <w:p>
            <w:pPr>
              <w:spacing w:after="20" w:before="20"/>
            </w:pPr>
            <w:r>
              <w:rPr>
                <w:b w:val="false"/>
                <w:bCs w:val="false"/>
                <w:sz w:val="18"/>
                <w:szCs w:val="18"/>
              </w:rPr>
              <w:t xml:space="preserve"/>
            </w:r>
          </w:p>
        </w:tc>
        <w:tc>
          <w:tcPr>
            <w:tcW w:type="pct" w:w="20%"/>
            <w:tcMar>
              <w:top w:type="dxa" w:w="60"/>
              <w:left w:type="dxa" w:w="100"/>
              <w:bottom w:type="dxa" w:w="60"/>
              <w:right w:type="dxa" w:w="100"/>
            </w:tcMar>
          </w:tcPr>
          <w:p>
            <w:pPr>
              <w:spacing w:after="20" w:before="20"/>
            </w:pPr>
            <w:r>
              <w:rPr>
                <w:b w:val="false"/>
                <w:bCs w:val="false"/>
                <w:sz w:val="18"/>
                <w:szCs w:val="18"/>
              </w:rPr>
              <w:t xml:space="preserve"/>
            </w:r>
          </w:p>
        </w:tc>
        <w:tc>
          <w:tcPr>
            <w:tcW w:type="pct" w:w="20%"/>
            <w:tcMar>
              <w:top w:type="dxa" w:w="60"/>
              <w:left w:type="dxa" w:w="100"/>
              <w:bottom w:type="dxa" w:w="60"/>
              <w:right w:type="dxa" w:w="100"/>
            </w:tcMar>
          </w:tcPr>
          <w:p>
            <w:pPr>
              <w:spacing w:after="20" w:before="20"/>
            </w:pPr>
            <w:r>
              <w:rPr>
                <w:b w:val="false"/>
                <w:bCs w:val="false"/>
                <w:sz w:val="18"/>
                <w:szCs w:val="18"/>
              </w:rPr>
              <w:t xml:space="preserve"/>
            </w:r>
          </w:p>
        </w:tc>
      </w:tr>
      <w:tr>
        <w:trPr>
          <w:tblHeader w:val="false"/>
        </w:trPr>
        <w:tc>
          <w:tcPr>
            <w:tcW w:type="pct" w:w="20%"/>
            <w:tcMar>
              <w:top w:type="dxa" w:w="60"/>
              <w:left w:type="dxa" w:w="100"/>
              <w:bottom w:type="dxa" w:w="60"/>
              <w:right w:type="dxa" w:w="100"/>
            </w:tcMar>
          </w:tcPr>
          <w:p>
            <w:pPr>
              <w:spacing w:after="20" w:before="20"/>
            </w:pPr>
            <w:r>
              <w:rPr>
                <w:b w:val="false"/>
                <w:bCs w:val="false"/>
                <w:sz w:val="18"/>
                <w:szCs w:val="18"/>
              </w:rPr>
              <w:t xml:space="preserve">Recibe (DIPLAD)</w:t>
            </w:r>
          </w:p>
        </w:tc>
        <w:tc>
          <w:tcPr>
            <w:tcW w:type="pct" w:w="20%"/>
            <w:tcMar>
              <w:top w:type="dxa" w:w="60"/>
              <w:left w:type="dxa" w:w="100"/>
              <w:bottom w:type="dxa" w:w="60"/>
              <w:right w:type="dxa" w:w="100"/>
            </w:tcMar>
          </w:tcPr>
          <w:p>
            <w:pPr>
              <w:spacing w:after="20" w:before="20"/>
            </w:pPr>
            <w:r>
              <w:rPr>
                <w:b w:val="false"/>
                <w:bCs w:val="false"/>
                <w:sz w:val="18"/>
                <w:szCs w:val="18"/>
              </w:rPr>
              <w:t xml:space="preserve"/>
            </w:r>
          </w:p>
        </w:tc>
        <w:tc>
          <w:tcPr>
            <w:tcW w:type="pct" w:w="20%"/>
            <w:tcMar>
              <w:top w:type="dxa" w:w="60"/>
              <w:left w:type="dxa" w:w="100"/>
              <w:bottom w:type="dxa" w:w="60"/>
              <w:right w:type="dxa" w:w="100"/>
            </w:tcMar>
          </w:tcPr>
          <w:p>
            <w:pPr>
              <w:spacing w:after="20" w:before="20"/>
            </w:pPr>
            <w:r>
              <w:rPr>
                <w:b w:val="false"/>
                <w:bCs w:val="false"/>
                <w:sz w:val="18"/>
                <w:szCs w:val="18"/>
              </w:rPr>
              <w:t xml:space="preserve"/>
            </w:r>
          </w:p>
        </w:tc>
        <w:tc>
          <w:tcPr>
            <w:tcW w:type="pct" w:w="20%"/>
            <w:tcMar>
              <w:top w:type="dxa" w:w="60"/>
              <w:left w:type="dxa" w:w="100"/>
              <w:bottom w:type="dxa" w:w="60"/>
              <w:right w:type="dxa" w:w="100"/>
            </w:tcMar>
          </w:tcPr>
          <w:p>
            <w:pPr>
              <w:spacing w:after="20" w:before="20"/>
            </w:pPr>
            <w:r>
              <w:rPr>
                <w:b w:val="false"/>
                <w:bCs w:val="false"/>
                <w:sz w:val="18"/>
                <w:szCs w:val="18"/>
              </w:rPr>
              <w:t xml:space="preserve"/>
            </w:r>
          </w:p>
        </w:tc>
        <w:tc>
          <w:tcPr>
            <w:tcW w:type="pct" w:w="20%"/>
            <w:tcMar>
              <w:top w:type="dxa" w:w="60"/>
              <w:left w:type="dxa" w:w="100"/>
              <w:bottom w:type="dxa" w:w="60"/>
              <w:right w:type="dxa" w:w="100"/>
            </w:tcMar>
          </w:tcPr>
          <w:p>
            <w:pPr>
              <w:spacing w:after="20" w:before="20"/>
            </w:pPr>
            <w:r>
              <w:rPr>
                <w:b w:val="false"/>
                <w:bCs w:val="false"/>
                <w:sz w:val="18"/>
                <w:szCs w:val="18"/>
              </w:rPr>
              <w:t xml:space="preserve"/>
            </w:r>
          </w:p>
        </w:tc>
      </w:tr>
      <w:tr>
        <w:trPr>
          <w:tblHeader w:val="false"/>
        </w:trPr>
        <w:tc>
          <w:tcPr>
            <w:tcW w:type="pct" w:w="20%"/>
            <w:tcMar>
              <w:top w:type="dxa" w:w="60"/>
              <w:left w:type="dxa" w:w="100"/>
              <w:bottom w:type="dxa" w:w="60"/>
              <w:right w:type="dxa" w:w="100"/>
            </w:tcMar>
          </w:tcPr>
          <w:p>
            <w:pPr>
              <w:spacing w:after="20" w:before="20"/>
            </w:pPr>
            <w:r>
              <w:rPr>
                <w:b w:val="false"/>
                <w:bCs w:val="false"/>
                <w:sz w:val="18"/>
                <w:szCs w:val="18"/>
              </w:rPr>
              <w:t xml:space="preserve">Recibe (Informática)</w:t>
            </w:r>
          </w:p>
        </w:tc>
        <w:tc>
          <w:tcPr>
            <w:tcW w:type="pct" w:w="20%"/>
            <w:tcMar>
              <w:top w:type="dxa" w:w="60"/>
              <w:left w:type="dxa" w:w="100"/>
              <w:bottom w:type="dxa" w:w="60"/>
              <w:right w:type="dxa" w:w="100"/>
            </w:tcMar>
          </w:tcPr>
          <w:p>
            <w:pPr>
              <w:spacing w:after="20" w:before="20"/>
            </w:pPr>
            <w:r>
              <w:rPr>
                <w:b w:val="false"/>
                <w:bCs w:val="false"/>
                <w:sz w:val="18"/>
                <w:szCs w:val="18"/>
              </w:rPr>
              <w:t xml:space="preserve"/>
            </w:r>
          </w:p>
        </w:tc>
        <w:tc>
          <w:tcPr>
            <w:tcW w:type="pct" w:w="20%"/>
            <w:tcMar>
              <w:top w:type="dxa" w:w="60"/>
              <w:left w:type="dxa" w:w="100"/>
              <w:bottom w:type="dxa" w:w="60"/>
              <w:right w:type="dxa" w:w="100"/>
            </w:tcMar>
          </w:tcPr>
          <w:p>
            <w:pPr>
              <w:spacing w:after="20" w:before="20"/>
            </w:pPr>
            <w:r>
              <w:rPr>
                <w:b w:val="false"/>
                <w:bCs w:val="false"/>
                <w:sz w:val="18"/>
                <w:szCs w:val="18"/>
              </w:rPr>
              <w:t xml:space="preserve"/>
            </w:r>
          </w:p>
        </w:tc>
        <w:tc>
          <w:tcPr>
            <w:tcW w:type="pct" w:w="20%"/>
            <w:tcMar>
              <w:top w:type="dxa" w:w="60"/>
              <w:left w:type="dxa" w:w="100"/>
              <w:bottom w:type="dxa" w:w="60"/>
              <w:right w:type="dxa" w:w="100"/>
            </w:tcMar>
          </w:tcPr>
          <w:p>
            <w:pPr>
              <w:spacing w:after="20" w:before="20"/>
            </w:pPr>
            <w:r>
              <w:rPr>
                <w:b w:val="false"/>
                <w:bCs w:val="false"/>
                <w:sz w:val="18"/>
                <w:szCs w:val="18"/>
              </w:rPr>
              <w:t xml:space="preserve"/>
            </w:r>
          </w:p>
        </w:tc>
        <w:tc>
          <w:tcPr>
            <w:tcW w:type="pct" w:w="20%"/>
            <w:tcMar>
              <w:top w:type="dxa" w:w="60"/>
              <w:left w:type="dxa" w:w="100"/>
              <w:bottom w:type="dxa" w:w="60"/>
              <w:right w:type="dxa" w:w="100"/>
            </w:tcMar>
          </w:tcPr>
          <w:p>
            <w:pPr>
              <w:spacing w:after="20" w:before="20"/>
            </w:pPr>
            <w:r>
              <w:rPr>
                <w:b w:val="false"/>
                <w:bCs w:val="false"/>
                <w:sz w:val="18"/>
                <w:szCs w:val="18"/>
              </w:rPr>
              <w:t xml:space="preserve"/>
            </w:r>
          </w:p>
        </w:tc>
      </w:tr>
    </w:tbl>
    <w:p>
      <w:pPr>
        <w:spacing w:after="16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0"/>
      </w:tabs>
    </w:pPr>
    <w:r>
      <w:rPr>
        <w:color w:val="767171"/>
        <w:sz w:val="16"/>
        <w:szCs w:val="16"/>
      </w:rPr>
      <w:t xml:space="preserve">Acta de Entrega · GORE Valparaíso · AWNA</w:t>
    </w:r>
    <w:r>
      <w:rPr>
        <w:sz w:val="16"/>
        <w:szCs w:val="16"/>
      </w:rPr>
      <w:t xml:space="preserve">	</w:t>
    </w:r>
    <w:r>
      <w:rPr>
        <w:color w:val="767171"/>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767171"/>
        <w:sz w:val="16"/>
        <w:szCs w:val="16"/>
      </w:rPr>
      <w:t xml:space="preserve">Plataforma de Procesos Participativos Reglados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Entrega — GORE Valparaíso</dc:title>
  <dc:creator>AWNA</dc:creator>
  <dc:description>Documentación técnica de entrega</dc:description>
  <cp:lastModifiedBy>Un-named</cp:lastModifiedBy>
  <cp:revision>1</cp:revision>
  <dcterms:created xsi:type="dcterms:W3CDTF">2026-09-29T17:37:47.195Z</dcterms:created>
  <dcterms:modified xsi:type="dcterms:W3CDTF">2026-09-29T17:37:47.195Z</dcterms:modified>
</cp:coreProperties>
</file>

<file path=docProps/custom.xml><?xml version="1.0" encoding="utf-8"?>
<Properties xmlns="http://schemas.openxmlformats.org/officeDocument/2006/custom-properties" xmlns:vt="http://schemas.openxmlformats.org/officeDocument/2006/docPropsVTypes"/>
</file>