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767171"/>
          <w:sz w:val="26"/>
          <w:szCs w:val="26"/>
        </w:rPr>
        <w:t xml:space="preserve">GOBIERNO REGIONAL DE VALPARAÍSO</w:t>
      </w:r>
    </w:p>
    <w:p>
      <w:pPr>
        <w:spacing w:after="800"/>
        <w:jc w:val="center"/>
      </w:pPr>
      <w:r>
        <w:rPr>
          <w:rFonts w:ascii="Calibri" w:cs="Calibri" w:eastAsia="Calibri" w:hAnsi="Calibri"/>
          <w:b w:val="false"/>
          <w:bCs w:val="false"/>
          <w:color w:val="767171"/>
          <w:sz w:val="24"/>
          <w:szCs w:val="24"/>
        </w:rPr>
        <w:t xml:space="preserve">Plataforma de Procesos Participativos Reglados</w:t>
      </w:r>
    </w:p>
    <w:p>
      <w:pPr>
        <w:pBdr>
          <w:bottom w:val="single" w:color="1F3864" w:sz="12" w:space="8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Manual de Usuario</w:t>
      </w:r>
    </w:p>
    <w:p>
      <w:pPr>
        <w:spacing w:after="1600"/>
        <w:jc w:val="center"/>
      </w:pPr>
      <w:r>
        <w:rPr>
          <w:rFonts w:ascii="Calibri" w:cs="Calibri" w:eastAsia="Calibri" w:hAnsi="Calibri"/>
          <w:b w:val="false"/>
          <w:bCs w:val="false"/>
          <w:color w:val="767171"/>
          <w:sz w:val="24"/>
          <w:szCs w:val="24"/>
        </w:rPr>
        <w:t xml:space="preserve">Entregable Etapa 5 — Puesta en Producción y Transferencia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Versión 1.0</w:t>
      </w:r>
    </w:p>
    <w:p>
      <w:pPr>
        <w:spacing w:after="100"/>
        <w:jc w:val="center"/>
      </w:pPr>
      <w:r>
        <w:rPr>
          <w:rFonts w:ascii="Calibri" w:cs="Calibri" w:eastAsia="Calibri" w:hAnsi="Calibri"/>
          <w:b w:val="false"/>
          <w:bCs w:val="false"/>
          <w:color w:val="767171"/>
          <w:sz w:val="22"/>
          <w:szCs w:val="22"/>
        </w:rPr>
        <w:t xml:space="preserve">29 de septiembre de 2026</w:t>
      </w:r>
    </w:p>
    <w:p>
      <w:pPr>
        <w:spacing w:after="0"/>
        <w:jc w:val="center"/>
      </w:pPr>
      <w:r>
        <w:rPr>
          <w:rFonts w:ascii="Calibri" w:cs="Calibri" w:eastAsia="Calibri" w:hAnsi="Calibri"/>
          <w:b w:val="false"/>
          <w:bCs w:val="false"/>
          <w:color w:val="767171"/>
          <w:sz w:val="22"/>
          <w:szCs w:val="22"/>
        </w:rPr>
        <w:t xml:space="preserve">Elaborado por AWNA</w:t>
      </w:r>
    </w:p>
    <w:p/>
    <w:p>
      <w:pPr>
        <w:sectPr>
          <w:pgSz w:w="11906" w:h="16838" w:orient="portrait"/>
          <w:pgMar w:top="1440" w:right="1134" w:bottom="1440" w:left="1134" w:header="708" w:footer="708" w:gutter="0"/>
          <w:pgNumType/>
          <w:docGrid w:linePitch="360"/>
        </w:sectPr>
      </w:pP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Plataforma de Procesos Participativos Reglados — GORE Valparaíso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Versión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29 de septiembre de 2026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Autor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AWNA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Destinatario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Ciudadanía y funcionarios del Gobierno Regional de Valparaíso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Dirección del portal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A31515"/>
                <w:sz w:val="18"/>
                <w:szCs w:val="18"/>
              </w:rPr>
              <w:t xml:space="preserve">https://www.participa.gobiernovalparaiso.cl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Documentos relacionados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Manual del Administrador (referencia detallada del backoffice), Manual de Despliegue y Operación</w:t>
            </w:r>
          </w:p>
        </w:tc>
      </w:tr>
    </w:tbl>
    <w:p>
      <w:pPr>
        <w:spacing w:after="160"/>
      </w:pP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Cómo usar este manual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El manual tiene dos partes, una por cada tipo de usuario: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Parte A — Ciudadanía:</w:t>
      </w:r>
      <w:r>
        <w:rPr>
          <w:sz w:val="21"/>
          <w:szCs w:val="21"/>
        </w:rPr>
        <w:t xml:space="preserve"> cómo revisar un proceso de consulta pública, descargar sus antecedentes y enviar observaciones.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Parte B — Funcionarios del GORE:</w:t>
      </w:r>
      <w:r>
        <w:rPr>
          <w:sz w:val="21"/>
          <w:szCs w:val="21"/>
        </w:rPr>
        <w:t xml:space="preserve"> cómo ingresar al backoffice, publicar un proceso, revisar las observaciones, responderlas y exportar el expediente.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Cada tarea está escrita como una secuencia de pasos. Las reglas finas del sistema (validaciones, límites, columnas del compendio, bitácora) están en el </w:t>
      </w:r>
      <w:r>
        <w:rPr>
          <w:b/>
          <w:bCs/>
          <w:sz w:val="21"/>
          <w:szCs w:val="21"/>
        </w:rPr>
        <w:t xml:space="preserve">Manual del Administrador</w:t>
      </w:r>
      <w:r>
        <w:rPr>
          <w:sz w:val="21"/>
          <w:szCs w:val="21"/>
        </w:rPr>
        <w:t xml:space="preserve">, que complementa a este documento.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Parte A — Ciudadanía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A1. Qué puede hacer una persona en el portal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En el portal cualquier persona puede, sin crear una cuenta: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Ver los procesos de consulta pública que el Gobierno Regional tiene abiertos, próximos o cerrados.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Leer la descripción de cada proceso y descargar sus antecedentes técnicos.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Enviar una o varias observaciones formales mientras el proceso esté abierto.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Leer las respuestas institucionales que el GORE publique.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A2. Encontrar un proceso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Ingresar 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https://www.participa.gobiernovalparaiso.cl</w:t>
      </w:r>
      <w:r>
        <w:rPr>
          <w:sz w:val="21"/>
          <w:szCs w:val="21"/>
        </w:rPr>
        <w:t xml:space="preserve">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La portada muestra las cifras de participación y los procesos más recientes. Para ver todos, hacer clic en </w:t>
      </w:r>
      <w:r>
        <w:rPr>
          <w:b/>
          <w:bCs/>
          <w:sz w:val="21"/>
          <w:szCs w:val="21"/>
        </w:rPr>
        <w:t xml:space="preserve">Consultas</w:t>
      </w:r>
      <w:r>
        <w:rPr>
          <w:sz w:val="21"/>
          <w:szCs w:val="21"/>
        </w:rPr>
        <w:t xml:space="preserve"> en el menú superior.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Cada tarjeta indica el tipo de instrumento (por ejemplo, </w:t>
      </w:r>
      <w:r>
        <w:rPr>
          <w:i/>
          <w:iCs/>
          <w:sz w:val="21"/>
          <w:szCs w:val="21"/>
        </w:rPr>
        <w:t xml:space="preserve">Instrumento de Planificación Territorial</w:t>
      </w:r>
      <w:r>
        <w:rPr>
          <w:sz w:val="21"/>
          <w:szCs w:val="21"/>
        </w:rPr>
        <w:t xml:space="preserve">), su estado y los días que quedan para participar.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Hacer clic en la tarjeta para abrir la ficha del proceso.</w:t>
      </w:r>
    </w:p>
    <w:p>
      <w:pPr>
        <w:spacing w:after="60" w:before="160"/>
        <w:jc w:val="center"/>
      </w:pPr>
      <w:r>
        <w:drawing>
          <wp:inline distT="0" distB="0" distL="0" distR="0">
            <wp:extent cx="5229225" cy="876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767171"/>
          <w:sz w:val="17"/>
          <w:szCs w:val="17"/>
        </w:rPr>
        <w:t xml:space="preserve">Portada del portal ciudadano</w:t>
      </w:r>
    </w:p>
    <w:p>
      <w:pPr>
        <w:spacing w:after="60" w:before="160"/>
        <w:jc w:val="center"/>
      </w:pPr>
      <w:r>
        <w:drawing>
          <wp:inline distT="0" distB="0" distL="0" distR="0">
            <wp:extent cx="8153400" cy="832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767171"/>
          <w:sz w:val="17"/>
          <w:szCs w:val="17"/>
        </w:rPr>
        <w:t xml:space="preserve">Listado de consultas públicas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A3. Revisar la ficha y descargar los antecedentes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La ficha de un proceso reúne toda la información necesaria para participar: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Encabezado:</w:t>
      </w:r>
      <w:r>
        <w:rPr>
          <w:sz w:val="21"/>
          <w:szCs w:val="21"/>
        </w:rPr>
        <w:t xml:space="preserve"> nombre del proceso, tipo de instrumento y estado.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Franja de cifras:</w:t>
      </w:r>
      <w:r>
        <w:rPr>
          <w:sz w:val="21"/>
          <w:szCs w:val="21"/>
        </w:rPr>
        <w:t xml:space="preserve"> días restantes y cantidad de observaciones recibidas.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Sobre este proceso:</w:t>
      </w:r>
      <w:r>
        <w:rPr>
          <w:sz w:val="21"/>
          <w:szCs w:val="21"/>
        </w:rPr>
        <w:t xml:space="preserve"> descripción completa.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Antecedentes técnicos:</w:t>
      </w:r>
      <w:r>
        <w:rPr>
          <w:sz w:val="21"/>
          <w:szCs w:val="21"/>
        </w:rPr>
        <w:t xml:space="preserve"> los documentos del proceso (memorias, planos, informes). Se descargan con el ícono de flecha junto a cada archivo.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1"/>
          <w:szCs w:val="21"/>
        </w:rPr>
        <w:t xml:space="preserve">Datos del proceso:</w:t>
      </w:r>
      <w:r>
        <w:rPr>
          <w:sz w:val="21"/>
          <w:szCs w:val="21"/>
        </w:rPr>
        <w:t xml:space="preserve"> fechas de inicio y término, y los métodos de identificación que admite.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Se recomienda leer los antecedentes antes de observar. En el teléfono móvil, los archivos aparecen antes del formulario por ese motivo.</w:t>
      </w:r>
    </w:p>
    <w:p>
      <w:pPr>
        <w:spacing w:after="60" w:before="160"/>
        <w:jc w:val="center"/>
      </w:pPr>
      <w:r>
        <w:drawing>
          <wp:inline distT="0" distB="0" distL="0" distR="0">
            <wp:extent cx="4381500" cy="876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767171"/>
          <w:sz w:val="17"/>
          <w:szCs w:val="17"/>
        </w:rPr>
        <w:t xml:space="preserve">Ficha de un proceso con el formulario de participación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A4. Enviar una observación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El formulario </w:t>
      </w:r>
      <w:r>
        <w:rPr>
          <w:b/>
          <w:bCs/>
          <w:sz w:val="21"/>
          <w:szCs w:val="21"/>
        </w:rPr>
        <w:t xml:space="preserve">Enviar mi observación</w:t>
      </w:r>
      <w:r>
        <w:rPr>
          <w:sz w:val="21"/>
          <w:szCs w:val="21"/>
        </w:rPr>
        <w:t xml:space="preserve"> aparece en la ficha solo mientras el proceso está abierto. Según cómo lo haya configurado el GORE, se puede participar de dos formas.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767171"/>
          <w:sz w:val="22"/>
          <w:szCs w:val="22"/>
        </w:rPr>
        <w:t xml:space="preserve">Opción 1: con ClaveÚnica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Hacer clic en </w:t>
      </w:r>
      <w:r>
        <w:rPr>
          <w:b/>
          <w:bCs/>
          <w:sz w:val="21"/>
          <w:szCs w:val="21"/>
        </w:rPr>
        <w:t xml:space="preserve">Ingresar con ClaveÚnica</w:t>
      </w:r>
      <w:r>
        <w:rPr>
          <w:sz w:val="21"/>
          <w:szCs w:val="21"/>
        </w:rPr>
        <w:t xml:space="preserve"> (arriba a la derecha o en la ficha del proceso).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Ingresar RUN y clave en el sitio oficial de ClaveÚnica.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Al volver al portal, el formulario indica con qué nombre y correo quedará registrada la observación. No hay que escribir los datos personales.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Continuar en el paso </w:t>
      </w:r>
      <w:r>
        <w:rPr>
          <w:b/>
          <w:bCs/>
          <w:sz w:val="21"/>
          <w:szCs w:val="21"/>
        </w:rPr>
        <w:t xml:space="preserve">«Escribir la observación»</w:t>
      </w:r>
      <w:r>
        <w:rPr>
          <w:sz w:val="21"/>
          <w:szCs w:val="21"/>
        </w:rPr>
        <w:t xml:space="preserve">, más abajo.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ClaveÚnica solo identifica a personas naturales. Las empresas y organizaciones participan por la opción 2.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767171"/>
          <w:sz w:val="22"/>
          <w:szCs w:val="22"/>
        </w:rPr>
        <w:t xml:space="preserve">Opción 2: sin registro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En </w:t>
      </w:r>
      <w:r>
        <w:rPr>
          <w:b/>
          <w:bCs/>
          <w:sz w:val="21"/>
          <w:szCs w:val="21"/>
        </w:rPr>
        <w:t xml:space="preserve">Tipo de participante</w:t>
      </w:r>
      <w:r>
        <w:rPr>
          <w:sz w:val="21"/>
          <w:szCs w:val="21"/>
        </w:rPr>
        <w:t xml:space="preserve">, elegir una de las tres tarjetas: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sz w:val="21"/>
          <w:szCs w:val="21"/>
        </w:rPr>
        <w:t xml:space="preserve">Persona Natural:</w:t>
      </w:r>
      <w:r>
        <w:rPr>
          <w:sz w:val="21"/>
          <w:szCs w:val="21"/>
        </w:rPr>
        <w:t xml:space="preserve"> se participa como ciudadano o ciudadana.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sz w:val="21"/>
          <w:szCs w:val="21"/>
        </w:rPr>
        <w:t xml:space="preserve">Persona Jurídica:</w:t>
      </w:r>
      <w:r>
        <w:rPr>
          <w:sz w:val="21"/>
          <w:szCs w:val="21"/>
        </w:rPr>
        <w:t xml:space="preserve"> empresa o entidad con RUT.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sz w:val="21"/>
          <w:szCs w:val="21"/>
        </w:rPr>
        <w:t xml:space="preserve">Organización sin PJ:</w:t>
      </w:r>
      <w:r>
        <w:rPr>
          <w:sz w:val="21"/>
          <w:szCs w:val="21"/>
        </w:rPr>
        <w:t xml:space="preserve"> junta de vecinos, agrupación u otra organización sin personalidad jurídica.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Completar los datos. Los marcados con asterisco (*) son obligatorios: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Tipo de participante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Obligatorio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Opcional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Persona Natural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Correo, nombre, tipo de identificación (RUT o pasaporte) y número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Teléfono, comuna, edad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Persona Jurídica / Organización sin PJ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Correo, razón social, RUT de la entidad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Teléfono, nombre de fantasía, dirección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sz w:val="21"/>
          <w:szCs w:val="21"/>
        </w:rPr>
        <w:t xml:space="preserve">El correo es importante: </w:t>
      </w:r>
      <w:r>
        <w:rPr>
          <w:b/>
          <w:bCs/>
          <w:sz w:val="21"/>
          <w:szCs w:val="21"/>
        </w:rPr>
        <w:t xml:space="preserve">a esa dirección se enviará la respuesta institucional</w:t>
      </w:r>
      <w:r>
        <w:rPr>
          <w:sz w:val="21"/>
          <w:szCs w:val="21"/>
        </w:rPr>
        <w:t xml:space="preserve">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767171"/>
          <w:sz w:val="22"/>
          <w:szCs w:val="22"/>
        </w:rPr>
        <w:t xml:space="preserve">Escribir la observación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1.  </w:t>
      </w:r>
      <w:r>
        <w:rPr>
          <w:b/>
          <w:bCs/>
          <w:sz w:val="21"/>
          <w:szCs w:val="21"/>
        </w:rPr>
        <w:t xml:space="preserve">Tema</w:t>
      </w:r>
      <w:r>
        <w:rPr>
          <w:sz w:val="21"/>
          <w:szCs w:val="21"/>
        </w:rPr>
        <w:t xml:space="preserve"> (opcional): elegir entre Uso de suelo, Vialidad, Áreas verdes, Patrimonio, Equipamiento, Riesgo natural u Otro.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2.  </w:t>
      </w:r>
      <w:r>
        <w:rPr>
          <w:b/>
          <w:bCs/>
          <w:sz w:val="21"/>
          <w:szCs w:val="21"/>
        </w:rPr>
        <w:t xml:space="preserve">Asunto</w:t>
      </w:r>
      <w:r>
        <w:rPr>
          <w:sz w:val="21"/>
          <w:szCs w:val="21"/>
        </w:rPr>
        <w:t xml:space="preserve"> (opcional): una frase que resuma la observación.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3.  </w:t>
      </w:r>
      <w:r>
        <w:rPr>
          <w:b/>
          <w:bCs/>
          <w:sz w:val="21"/>
          <w:szCs w:val="21"/>
        </w:rPr>
        <w:t xml:space="preserve">Tu observación</w:t>
      </w:r>
      <w:r>
        <w:rPr>
          <w:sz w:val="21"/>
          <w:szCs w:val="21"/>
        </w:rPr>
        <w:t xml:space="preserve"> (obligatorio): el texto, entre 10 y 10.000 caracteres.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4.  </w:t>
      </w:r>
      <w:r>
        <w:rPr>
          <w:b/>
          <w:bCs/>
          <w:sz w:val="21"/>
          <w:szCs w:val="21"/>
        </w:rPr>
        <w:t xml:space="preserve">Archivo adjunto</w:t>
      </w:r>
      <w:r>
        <w:rPr>
          <w:sz w:val="21"/>
          <w:szCs w:val="21"/>
        </w:rPr>
        <w:t xml:space="preserve"> (opcional): un archivo de hasta 10 MB (PDF, imagen, Word, Excel, OpenDocument o texto plano).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Para observar otro tema en el mismo envío, hacer clic en </w:t>
      </w:r>
      <w:r>
        <w:rPr>
          <w:b/>
          <w:bCs/>
          <w:sz w:val="21"/>
          <w:szCs w:val="21"/>
        </w:rPr>
        <w:t xml:space="preserve">Agregar otra observación</w:t>
      </w:r>
      <w:r>
        <w:rPr>
          <w:sz w:val="21"/>
          <w:szCs w:val="21"/>
        </w:rPr>
        <w:t xml:space="preserve">. Se pueden incluir hasta 20, cada una con su tema, texto y adjunto.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Revisar y hacer clic en </w:t>
      </w:r>
      <w:r>
        <w:rPr>
          <w:b/>
          <w:bCs/>
          <w:sz w:val="21"/>
          <w:szCs w:val="21"/>
        </w:rPr>
        <w:t xml:space="preserve">Enviar</w:t>
      </w:r>
      <w:r>
        <w:rPr>
          <w:sz w:val="21"/>
          <w:szCs w:val="21"/>
        </w:rPr>
        <w:t xml:space="preserve">.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Al enviar, las observaciones pasan a formar parte del expediente público del proceso. </w:t>
      </w:r>
      <w:r>
        <w:rPr>
          <w:b/>
          <w:bCs/>
          <w:sz w:val="21"/>
          <w:szCs w:val="21"/>
        </w:rPr>
        <w:t xml:space="preserve">Una vez enviadas no se pueden modificar.</w:t>
      </w:r>
      <w:r>
        <w:rPr>
          <w:sz w:val="21"/>
          <w:szCs w:val="21"/>
        </w:rPr>
        <w:t xml:space="preserve"> Si se quiere corregir algo, se envía una observación nueva mientras el proceso siga abierto.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A5. Comprobante de envío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Después de enviar, el portal muestra una pantalla de confirmación con el </w:t>
      </w:r>
      <w:r>
        <w:rPr>
          <w:b/>
          <w:bCs/>
          <w:sz w:val="21"/>
          <w:szCs w:val="21"/>
        </w:rPr>
        <w:t xml:space="preserve">código del envío</w:t>
      </w:r>
      <w:r>
        <w:rPr>
          <w:sz w:val="21"/>
          <w:szCs w:val="21"/>
        </w:rPr>
        <w:t xml:space="preserve">. Ese código es el comprobante de participación: conviene guardarlo o sacar una captura de pantalla.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Quien participó sin registro recibe además un enlace para volver a ver su comprobante. El enlace lleva un código secreto y no debe compartirse.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A6. Recibir y leer la respuesta institucional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Cuando el GORE responde una observación: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La respuesta se envía al correo declarado (o al de ClaveÚnica).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Las respuestas publicadas se pueden leer en la ficha del proceso.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A7. Mensajes que puede mostrar la ficha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Mensaje</w:t>
            </w:r>
          </w:p>
        </w:tc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Qué significa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Participación no habilitada aún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proceso fue anunciado pero todavía no comienza el plazo para observar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Proceso cerrado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Terminó el plazo. Los antecedentes siguen disponibles para consulta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Participa en este proceso</w:t>
            </w:r>
            <w:r>
              <w:rPr>
                <w:b w:val="false"/>
                <w:bCs w:val="false"/>
                <w:sz w:val="18"/>
                <w:szCs w:val="18"/>
              </w:rPr>
              <w:t xml:space="preserve"> (con botón de ClaveÚnica)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proceso solo admite participación identificada con ClaveÚnica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Participación no disponible por ahora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proceso requiere ClaveÚnica y ese servicio no está habilitado en este momento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Cuenta institucional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ingresó con una cuenta de funcionario; para participar como ciudadano hay que cerrar esa sesión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sz w:val="21"/>
          <w:szCs w:val="21"/>
        </w:rPr>
        <w:t xml:space="preserve">Por seguridad, el portal acepta hasta 5 envíos por minuto desde una misma conexión. Si aparece un aviso de exceso, basta con esperar un minuto.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Parte B — Funcionarios del GORE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B1. Ingresar al backoffice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Ingresar a </w:t>
      </w:r>
      <w:r>
        <w:rPr>
          <w:rFonts w:ascii="Consolas" w:cs="Consolas" w:eastAsia="Consolas" w:hAnsi="Consolas"/>
          <w:color w:val="A31515"/>
          <w:sz w:val="21"/>
          <w:szCs w:val="21"/>
        </w:rPr>
        <w:t xml:space="preserve">https://www.participa.gobiernovalparaiso.cl/admin/login</w:t>
      </w:r>
      <w:r>
        <w:rPr>
          <w:sz w:val="21"/>
          <w:szCs w:val="21"/>
        </w:rPr>
        <w:t xml:space="preserve"> (también está el enlace </w:t>
      </w:r>
      <w:r>
        <w:rPr>
          <w:b/>
          <w:bCs/>
          <w:sz w:val="21"/>
          <w:szCs w:val="21"/>
        </w:rPr>
        <w:t xml:space="preserve">Acceso funcionarios</w:t>
      </w:r>
      <w:r>
        <w:rPr>
          <w:sz w:val="21"/>
          <w:szCs w:val="21"/>
        </w:rPr>
        <w:t xml:space="preserve"> al pie del portal).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Escribir el correo institucional y la contraseña, y hacer clic en </w:t>
      </w:r>
      <w:r>
        <w:rPr>
          <w:b/>
          <w:bCs/>
          <w:sz w:val="21"/>
          <w:szCs w:val="21"/>
        </w:rPr>
        <w:t xml:space="preserve">Ingresar</w:t>
      </w:r>
      <w:r>
        <w:rPr>
          <w:sz w:val="21"/>
          <w:szCs w:val="21"/>
        </w:rPr>
        <w:t xml:space="preserve">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En el primer ingreso, cambiar la contraseña desde el menú de usuario (arriba a la derecha) → </w:t>
      </w:r>
      <w:r>
        <w:rPr>
          <w:b/>
          <w:bCs/>
          <w:sz w:val="21"/>
          <w:szCs w:val="21"/>
        </w:rPr>
        <w:t xml:space="preserve">Perfil</w:t>
      </w:r>
      <w:r>
        <w:rPr>
          <w:sz w:val="21"/>
          <w:szCs w:val="21"/>
        </w:rPr>
        <w:t xml:space="preserve">.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Cada funcionario debe tener su propia cuenta. La bitácora atribuye cada acción a quien la hizo, así que compartir credenciales rompe la trazabilidad del expediente.</w:t>
      </w:r>
    </w:p>
    <w:p>
      <w:pPr>
        <w:spacing w:after="60" w:before="160"/>
        <w:jc w:val="center"/>
      </w:pPr>
      <w:r>
        <w:drawing>
          <wp:inline distT="0" distB="0" distL="0" distR="0">
            <wp:extent cx="8153400" cy="509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767171"/>
          <w:sz w:val="17"/>
          <w:szCs w:val="17"/>
        </w:rPr>
        <w:t xml:space="preserve">Pantalla de acceso al backoffice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Si se olvida la contraseña, un super-admin puede asignar una nueva desde </w:t>
      </w:r>
      <w:r>
        <w:rPr>
          <w:b/>
          <w:bCs/>
          <w:sz w:val="21"/>
          <w:szCs w:val="21"/>
        </w:rPr>
        <w:t xml:space="preserve">Usuarios → Editar</w:t>
      </w:r>
      <w:r>
        <w:rPr>
          <w:sz w:val="21"/>
          <w:szCs w:val="21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B2. El panel principal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Al entrar se llega al </w:t>
      </w:r>
      <w:r>
        <w:rPr>
          <w:b/>
          <w:bCs/>
          <w:sz w:val="21"/>
          <w:szCs w:val="21"/>
        </w:rPr>
        <w:t xml:space="preserve">Dashboard</w:t>
      </w:r>
      <w:r>
        <w:rPr>
          <w:sz w:val="21"/>
          <w:szCs w:val="21"/>
        </w:rPr>
        <w:t xml:space="preserve">, con las cifras generales y la actividad reciente. El menú superior da acceso a: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Menú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Para qué sirve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Quién lo ve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Resumen general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Todos los funcionarios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Crear y administrar los procesos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Todos los funcionarios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Observaciones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Revisar, responder y exportar lo recibido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Todos los funcionarios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Crear y desactivar cuentas de funcionarios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super-admin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Bitácora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de auditoría de todas las acciones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super-admin</w:t>
            </w:r>
          </w:p>
        </w:tc>
      </w:tr>
    </w:tbl>
    <w:p>
      <w:pPr>
        <w:spacing w:after="160"/>
      </w:pPr>
    </w:p>
    <w:p>
      <w:pPr>
        <w:spacing w:after="60" w:before="160"/>
        <w:jc w:val="center"/>
      </w:pPr>
      <w:r>
        <w:drawing>
          <wp:inline distT="0" distB="0" distL="0" distR="0">
            <wp:extent cx="7791450" cy="876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0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767171"/>
          <w:sz w:val="17"/>
          <w:szCs w:val="17"/>
        </w:rPr>
        <w:t xml:space="preserve">Dashboard del backoffice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B3. Crear y publicar un proceso de consulta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Ir a </w:t>
      </w:r>
      <w:r>
        <w:rPr>
          <w:b/>
          <w:bCs/>
          <w:sz w:val="21"/>
          <w:szCs w:val="21"/>
        </w:rPr>
        <w:t xml:space="preserve">Consultas → Nueva consulta</w:t>
      </w:r>
      <w:r>
        <w:rPr>
          <w:sz w:val="21"/>
          <w:szCs w:val="21"/>
        </w:rPr>
        <w:t xml:space="preserve">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Completar el formulario: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sz w:val="21"/>
          <w:szCs w:val="21"/>
        </w:rPr>
        <w:t xml:space="preserve">Título:</w:t>
      </w:r>
      <w:r>
        <w:rPr>
          <w:sz w:val="21"/>
          <w:szCs w:val="21"/>
        </w:rPr>
        <w:t xml:space="preserve"> el nombre que verá la ciudadanía.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sz w:val="21"/>
          <w:szCs w:val="21"/>
        </w:rPr>
        <w:t xml:space="preserve">Resumen:</w:t>
      </w:r>
      <w:r>
        <w:rPr>
          <w:sz w:val="21"/>
          <w:szCs w:val="21"/>
        </w:rPr>
        <w:t xml:space="preserve"> una bajada breve para la tarjeta del listado.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sz w:val="21"/>
          <w:szCs w:val="21"/>
        </w:rPr>
        <w:t xml:space="preserve">Descripción:</w:t>
      </w:r>
      <w:r>
        <w:rPr>
          <w:sz w:val="21"/>
          <w:szCs w:val="21"/>
        </w:rPr>
        <w:t xml:space="preserve"> el texto completo de la ficha.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sz w:val="21"/>
          <w:szCs w:val="21"/>
        </w:rPr>
        <w:t xml:space="preserve">Tipo de instrumento:</w:t>
      </w:r>
      <w:r>
        <w:rPr>
          <w:sz w:val="21"/>
          <w:szCs w:val="21"/>
        </w:rPr>
        <w:t xml:space="preserve"> IPT, PROT, ZUBC u Otro.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sz w:val="21"/>
          <w:szCs w:val="21"/>
        </w:rPr>
        <w:t xml:space="preserve">Fechas de inicio y término:</w:t>
      </w:r>
      <w:r>
        <w:rPr>
          <w:sz w:val="21"/>
          <w:szCs w:val="21"/>
        </w:rPr>
        <w:t xml:space="preserve"> la ventana en que se reciben observaciones.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sz w:val="21"/>
          <w:szCs w:val="21"/>
        </w:rPr>
        <w:t xml:space="preserve">Métodos de participación:</w:t>
      </w:r>
      <w:r>
        <w:rPr>
          <w:sz w:val="21"/>
          <w:szCs w:val="21"/>
        </w:rPr>
        <w:t xml:space="preserve"> ClaveÚnica, Sin registro, o ambos.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sz w:val="21"/>
          <w:szCs w:val="21"/>
        </w:rPr>
        <w:t xml:space="preserve">Estado:</w:t>
      </w:r>
      <w:r>
        <w:rPr>
          <w:sz w:val="21"/>
          <w:szCs w:val="21"/>
        </w:rPr>
        <w:t xml:space="preserve"> dejar en </w:t>
      </w:r>
      <w:r>
        <w:rPr>
          <w:b/>
          <w:bCs/>
          <w:sz w:val="21"/>
          <w:szCs w:val="21"/>
        </w:rPr>
        <w:t xml:space="preserve">Borrador</w:t>
      </w:r>
      <w:r>
        <w:rPr>
          <w:sz w:val="21"/>
          <w:szCs w:val="21"/>
        </w:rPr>
        <w:t xml:space="preserve"> mientras se prepara.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Guardar.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Desde la ficha de la consulta, subir los </w:t>
      </w:r>
      <w:r>
        <w:rPr>
          <w:b/>
          <w:bCs/>
          <w:sz w:val="21"/>
          <w:szCs w:val="21"/>
        </w:rPr>
        <w:t xml:space="preserve">antecedentes técnicos</w:t>
      </w:r>
      <w:r>
        <w:rPr>
          <w:sz w:val="21"/>
          <w:szCs w:val="21"/>
        </w:rPr>
        <w:t xml:space="preserve"> (ver B4).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Cuando todo esté listo, editar la consulta y cambiar el estado a </w:t>
      </w:r>
      <w:r>
        <w:rPr>
          <w:b/>
          <w:bCs/>
          <w:sz w:val="21"/>
          <w:szCs w:val="21"/>
        </w:rPr>
        <w:t xml:space="preserve">Activa</w:t>
      </w:r>
      <w:r>
        <w:rPr>
          <w:sz w:val="21"/>
          <w:szCs w:val="21"/>
        </w:rPr>
        <w:t xml:space="preserve"> (o a </w:t>
      </w:r>
      <w:r>
        <w:rPr>
          <w:b/>
          <w:bCs/>
          <w:sz w:val="21"/>
          <w:szCs w:val="21"/>
        </w:rPr>
        <w:t xml:space="preserve">Publicada</w:t>
      </w:r>
      <w:r>
        <w:rPr>
          <w:sz w:val="21"/>
          <w:szCs w:val="21"/>
        </w:rPr>
        <w:t xml:space="preserve"> si solo se quiere anunciar, sin recibir observaciones todavía).</w:t>
      </w:r>
    </w:p>
    <w:p>
      <w:pPr>
        <w:spacing w:after="60" w:before="160"/>
        <w:jc w:val="center"/>
      </w:pPr>
      <w:r>
        <w:drawing>
          <wp:inline distT="0" distB="0" distL="0" distR="0">
            <wp:extent cx="8153400" cy="621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767171"/>
          <w:sz w:val="17"/>
          <w:szCs w:val="17"/>
        </w:rPr>
        <w:t xml:space="preserve">Formulario de creación de una consulta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Las fechas mandan.</w:t>
      </w:r>
      <w:r>
        <w:rPr>
          <w:sz w:val="21"/>
          <w:szCs w:val="21"/>
        </w:rPr>
        <w:t xml:space="preserve"> Una consulta </w:t>
      </w:r>
      <w:r>
        <w:rPr>
          <w:i/>
          <w:iCs/>
          <w:sz w:val="21"/>
          <w:szCs w:val="21"/>
        </w:rPr>
        <w:t xml:space="preserve">Activa</w:t>
      </w:r>
      <w:r>
        <w:rPr>
          <w:sz w:val="21"/>
          <w:szCs w:val="21"/>
        </w:rPr>
        <w:t xml:space="preserve"> solo recibe observaciones dentro de su ventana: antes de la fecha de inicio se muestra como próxima y después de la de término, como cerrada. No hace falta entrar a cerrarla el último día.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Visible en el portal</w:t>
            </w:r>
          </w:p>
        </w:tc>
        <w:tc>
          <w:tcPr>
            <w:tcW w:type="pct" w:w="33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Recibe observaciones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Borrador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Publicada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(se anuncia como próxima)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Sí, dentro de las fechas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Cerrada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Archivada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60"/>
      </w:pPr>
    </w:p>
    <w:p>
      <w:pPr>
        <w:spacing w:after="60" w:before="160"/>
        <w:jc w:val="center"/>
      </w:pPr>
      <w:r>
        <w:drawing>
          <wp:inline distT="0" distB="0" distL="0" distR="0">
            <wp:extent cx="8153400" cy="509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767171"/>
          <w:sz w:val="17"/>
          <w:szCs w:val="17"/>
        </w:rPr>
        <w:t xml:space="preserve">Listado de consultas en el backoffice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B4. Subir y reemplazar antecedentes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Abrir la consulta desde </w:t>
      </w:r>
      <w:r>
        <w:rPr>
          <w:b/>
          <w:bCs/>
          <w:sz w:val="21"/>
          <w:szCs w:val="21"/>
        </w:rPr>
        <w:t xml:space="preserve">Consultas</w:t>
      </w:r>
      <w:r>
        <w:rPr>
          <w:sz w:val="21"/>
          <w:szCs w:val="21"/>
        </w:rPr>
        <w:t xml:space="preserve"> y hacer clic en su título.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En la sección </w:t>
      </w:r>
      <w:r>
        <w:rPr>
          <w:b/>
          <w:bCs/>
          <w:sz w:val="21"/>
          <w:szCs w:val="21"/>
        </w:rPr>
        <w:t xml:space="preserve">Antecedentes</w:t>
      </w:r>
      <w:r>
        <w:rPr>
          <w:sz w:val="21"/>
          <w:szCs w:val="21"/>
        </w:rPr>
        <w:t xml:space="preserve">, indicar un título, una descripción opcional y elegir el archivo (hasta 110 MB).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Hacer clic en </w:t>
      </w:r>
      <w:r>
        <w:rPr>
          <w:b/>
          <w:bCs/>
          <w:sz w:val="21"/>
          <w:szCs w:val="21"/>
        </w:rPr>
        <w:t xml:space="preserve">Subir</w:t>
      </w:r>
      <w:r>
        <w:rPr>
          <w:sz w:val="21"/>
          <w:szCs w:val="21"/>
        </w:rPr>
        <w:t xml:space="preserve">.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Para actualizar un documento se usa </w:t>
      </w:r>
      <w:r>
        <w:rPr>
          <w:b/>
          <w:bCs/>
          <w:sz w:val="21"/>
          <w:szCs w:val="21"/>
        </w:rPr>
        <w:t xml:space="preserve">Reemplazar</w:t>
      </w:r>
      <w:r>
        <w:rPr>
          <w:sz w:val="21"/>
          <w:szCs w:val="21"/>
        </w:rPr>
        <w:t xml:space="preserve"> → </w:t>
      </w:r>
      <w:r>
        <w:rPr>
          <w:b/>
          <w:bCs/>
          <w:sz w:val="21"/>
          <w:szCs w:val="21"/>
        </w:rPr>
        <w:t xml:space="preserve">Subir nueva versión</w:t>
      </w:r>
      <w:r>
        <w:rPr>
          <w:sz w:val="21"/>
          <w:szCs w:val="21"/>
        </w:rPr>
        <w:t xml:space="preserve">: el sistema guarda la versión anterior y publica la nueva con un número de versión mayor, así el historial queda completo. Cada archivo queda con una huella digital (hash SHA-256) que permite comprobar después que no fue alterado.</w:t>
      </w:r>
    </w:p>
    <w:p>
      <w:pPr>
        <w:spacing w:after="60" w:before="160"/>
        <w:jc w:val="center"/>
      </w:pPr>
      <w:r>
        <w:drawing>
          <wp:inline distT="0" distB="0" distL="0" distR="0">
            <wp:extent cx="8153400" cy="610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767171"/>
          <w:sz w:val="17"/>
          <w:szCs w:val="17"/>
        </w:rPr>
        <w:t xml:space="preserve">Ficha de la consulta con sus antecedentes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B5. Revisar las observaciones recibidas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Ir a </w:t>
      </w:r>
      <w:r>
        <w:rPr>
          <w:b/>
          <w:bCs/>
          <w:sz w:val="21"/>
          <w:szCs w:val="21"/>
        </w:rPr>
        <w:t xml:space="preserve">Observaciones</w:t>
      </w:r>
      <w:r>
        <w:rPr>
          <w:sz w:val="21"/>
          <w:szCs w:val="21"/>
        </w:rPr>
        <w:t xml:space="preserve">. El listado muestra lo recibido, de lo más reciente a lo más antiguo.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Usar los filtros para acotar: </w:t>
      </w:r>
      <w:r>
        <w:rPr>
          <w:b/>
          <w:bCs/>
          <w:sz w:val="21"/>
          <w:szCs w:val="21"/>
        </w:rPr>
        <w:t xml:space="preserve">Búsqueda</w:t>
      </w:r>
      <w:r>
        <w:rPr>
          <w:sz w:val="21"/>
          <w:szCs w:val="21"/>
        </w:rPr>
        <w:t xml:space="preserve"> (texto, RUT, nombre, correo o código), </w:t>
      </w:r>
      <w:r>
        <w:rPr>
          <w:b/>
          <w:bCs/>
          <w:sz w:val="21"/>
          <w:szCs w:val="21"/>
        </w:rPr>
        <w:t xml:space="preserve">Proceso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Método de identificación</w:t>
      </w:r>
      <w:r>
        <w:rPr>
          <w:sz w:val="21"/>
          <w:szCs w:val="21"/>
        </w:rPr>
        <w:t xml:space="preserve"> y rango de fechas </w:t>
      </w:r>
      <w:r>
        <w:rPr>
          <w:b/>
          <w:bCs/>
          <w:sz w:val="21"/>
          <w:szCs w:val="21"/>
        </w:rPr>
        <w:t xml:space="preserve">Desde / Hasta</w:t>
      </w:r>
      <w:r>
        <w:rPr>
          <w:sz w:val="21"/>
          <w:szCs w:val="21"/>
        </w:rPr>
        <w:t xml:space="preserve">. Luego hacer clic en el botón de filtro.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Hacer clic en </w:t>
      </w:r>
      <w:r>
        <w:rPr>
          <w:b/>
          <w:bCs/>
          <w:sz w:val="21"/>
          <w:szCs w:val="21"/>
        </w:rPr>
        <w:t xml:space="preserve">Ver</w:t>
      </w:r>
      <w:r>
        <w:rPr>
          <w:sz w:val="21"/>
          <w:szCs w:val="21"/>
        </w:rPr>
        <w:t xml:space="preserve"> para abrir la ficha completa de una observación: datos del participante, texto, adjunto y estado de la respuesta.</w:t>
      </w:r>
    </w:p>
    <w:p>
      <w:pPr>
        <w:spacing w:after="60" w:before="160"/>
        <w:jc w:val="center"/>
      </w:pPr>
      <w:r>
        <w:drawing>
          <wp:inline distT="0" distB="0" distL="0" distR="0">
            <wp:extent cx="5181600" cy="876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767171"/>
          <w:sz w:val="17"/>
          <w:szCs w:val="17"/>
        </w:rPr>
        <w:t xml:space="preserve">Listado de observaciones recibidas</w:t>
      </w:r>
    </w:p>
    <w:p>
      <w:pPr>
        <w:spacing w:after="60" w:before="160"/>
        <w:jc w:val="center"/>
      </w:pPr>
      <w:r>
        <w:drawing>
          <wp:inline distT="0" distB="0" distL="0" distR="0">
            <wp:extent cx="8153400" cy="734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0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767171"/>
          <w:sz w:val="17"/>
          <w:szCs w:val="17"/>
        </w:rPr>
        <w:t xml:space="preserve">Ficha de una observación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Las observaciones no se pueden editar</w:t>
      </w:r>
      <w:r>
        <w:rPr>
          <w:sz w:val="21"/>
          <w:szCs w:val="21"/>
        </w:rPr>
        <w:t xml:space="preserve">, ni siquiera por un super-admin. Es una garantía del proceso reglado. Lo único posible es </w:t>
      </w:r>
      <w:r>
        <w:rPr>
          <w:b/>
          <w:bCs/>
          <w:sz w:val="21"/>
          <w:szCs w:val="21"/>
        </w:rPr>
        <w:t xml:space="preserve">archivar</w:t>
      </w:r>
      <w:r>
        <w:rPr>
          <w:sz w:val="21"/>
          <w:szCs w:val="21"/>
        </w:rPr>
        <w:t xml:space="preserve"> (solo super-admin) los envíos que claramente no corresponden, como spam o pruebas. El archivado es reversible desde el botón </w:t>
      </w:r>
      <w:r>
        <w:rPr>
          <w:b/>
          <w:bCs/>
          <w:sz w:val="21"/>
          <w:szCs w:val="21"/>
        </w:rPr>
        <w:t xml:space="preserve">Archivadas</w:t>
      </w:r>
      <w:r>
        <w:rPr>
          <w:sz w:val="21"/>
          <w:szCs w:val="21"/>
        </w:rPr>
        <w:t xml:space="preserve"> y queda registrado en la bitácora. Ante la duda, no archivar.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B6. Responder una observación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En la ficha de la observación, escribir la respuesta institucional (entre 10 y 5.000 caracteres).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Hacer clic en </w:t>
      </w:r>
      <w:r>
        <w:rPr>
          <w:b/>
          <w:bCs/>
          <w:sz w:val="21"/>
          <w:szCs w:val="21"/>
        </w:rPr>
        <w:t xml:space="preserve">Guardar borrador</w:t>
      </w:r>
      <w:r>
        <w:rPr>
          <w:sz w:val="21"/>
          <w:szCs w:val="21"/>
        </w:rPr>
        <w:t xml:space="preserve">. El borrador no lo ve el ciudadano y se puede corregir las veces que haga falta.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Cuando el texto esté revisado, hacer clic en </w:t>
      </w:r>
      <w:r>
        <w:rPr>
          <w:b/>
          <w:bCs/>
          <w:sz w:val="21"/>
          <w:szCs w:val="21"/>
        </w:rPr>
        <w:t xml:space="preserve">Publicar y notificar al ciudadano</w:t>
      </w:r>
      <w:r>
        <w:rPr>
          <w:sz w:val="21"/>
          <w:szCs w:val="21"/>
        </w:rPr>
        <w:t xml:space="preserve"> y confirmar. La respuesta se hace visible y se envía por correo al participante.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Una respuesta publicada no se puede editar ni borrar.</w:t>
      </w:r>
      <w:r>
        <w:rPr>
          <w:sz w:val="21"/>
          <w:szCs w:val="21"/>
        </w:rPr>
        <w:t xml:space="preserve"> Revisar siempre el borrador antes de publicar.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767171"/>
          <w:sz w:val="22"/>
          <w:szCs w:val="22"/>
        </w:rPr>
        <w:t xml:space="preserve">Responder varias a la vez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Cuando muchas observaciones plantean lo mismo: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En el listado de </w:t>
      </w:r>
      <w:r>
        <w:rPr>
          <w:b/>
          <w:bCs/>
          <w:sz w:val="21"/>
          <w:szCs w:val="21"/>
        </w:rPr>
        <w:t xml:space="preserve">Observaciones</w:t>
      </w:r>
      <w:r>
        <w:rPr>
          <w:sz w:val="21"/>
          <w:szCs w:val="21"/>
        </w:rPr>
        <w:t xml:space="preserve">, marcar las casillas de las observaciones a responder.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Hacer clic en </w:t>
      </w:r>
      <w:r>
        <w:rPr>
          <w:b/>
          <w:bCs/>
          <w:sz w:val="21"/>
          <w:szCs w:val="21"/>
        </w:rPr>
        <w:t xml:space="preserve">Responder en lote</w:t>
      </w:r>
      <w:r>
        <w:rPr>
          <w:sz w:val="21"/>
          <w:szCs w:val="21"/>
        </w:rPr>
        <w:t xml:space="preserve">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Redactar el texto una vez y confirmar. El sistema avisa si alguna de las seleccionadas ya tenía respuesta.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B7. Exportar el expediente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En </w:t>
      </w:r>
      <w:r>
        <w:rPr>
          <w:b/>
          <w:bCs/>
          <w:sz w:val="21"/>
          <w:szCs w:val="21"/>
        </w:rPr>
        <w:t xml:space="preserve">Observaciones → Exportar</w:t>
      </w:r>
      <w:r>
        <w:rPr>
          <w:sz w:val="21"/>
          <w:szCs w:val="21"/>
        </w:rPr>
        <w:t xml:space="preserve"> hay tres opciones: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Opción</w:t>
            </w:r>
          </w:p>
        </w:tc>
        <w:tc>
          <w:tcPr>
            <w:tcW w:type="pct" w:w="50%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Qué se descarga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XLSX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compendio de observaciones en planilla Excel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CSV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mismo compendio en texto separado por comas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Adjuntos en ZIP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Todos los archivos adjuntos, más un índice y el compendio en Excel</w:t>
            </w:r>
          </w:p>
        </w:tc>
      </w:tr>
    </w:tbl>
    <w:p>
      <w:pPr>
        <w:spacing w:after="160"/>
      </w:pPr>
    </w:p>
    <w:p>
      <w:pPr>
        <w:spacing w:after="140" w:line="276"/>
        <w:jc w:val="both"/>
      </w:pPr>
      <w:r>
        <w:rPr>
          <w:sz w:val="21"/>
          <w:szCs w:val="21"/>
        </w:rPr>
        <w:t xml:space="preserve">La exportación </w:t>
      </w:r>
      <w:r>
        <w:rPr>
          <w:b/>
          <w:bCs/>
          <w:sz w:val="21"/>
          <w:szCs w:val="21"/>
        </w:rPr>
        <w:t xml:space="preserve">respeta los filtros aplicados en pantalla</w:t>
      </w:r>
      <w:r>
        <w:rPr>
          <w:sz w:val="21"/>
          <w:szCs w:val="21"/>
        </w:rPr>
        <w:t xml:space="preserve">. Para exportar un solo proceso, filtrar primero por ese proceso.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El ZIP tarda cerca de un minuto en prepararse. Mientras el botón dice </w:t>
      </w:r>
      <w:r>
        <w:rPr>
          <w:i/>
          <w:iCs/>
          <w:sz w:val="21"/>
          <w:szCs w:val="21"/>
        </w:rPr>
        <w:t xml:space="preserve">Preparando…</w:t>
      </w:r>
      <w:r>
        <w:rPr>
          <w:sz w:val="21"/>
          <w:szCs w:val="21"/>
        </w:rPr>
        <w:t xml:space="preserve"> hay que esperar sin volver a hacer clic ni recargar la página. Cada archivo adjunto va nombrado con el código del expediente, y así se cruza con su fila en el compendio. Si el filtro abarca más de 500 archivos o 500 MB, el sistema lo avisa y basta con acotar por fechas y descargar en dos partes.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Estos archivos contienen datos personales. No deben publicarse íntegros ni enviarse por canales no institucionales.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B8. Administrar cuentas de funcionarios (super-admin)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Ir a </w:t>
      </w:r>
      <w:r>
        <w:rPr>
          <w:b/>
          <w:bCs/>
          <w:sz w:val="21"/>
          <w:szCs w:val="21"/>
        </w:rPr>
        <w:t xml:space="preserve">Usuarios → Nuevo funcionario</w:t>
      </w:r>
      <w:r>
        <w:rPr>
          <w:sz w:val="21"/>
          <w:szCs w:val="21"/>
        </w:rPr>
        <w:t xml:space="preserve">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Ingresar RUT, nombre, apellido, correo, contraseña inicial y rol (</w:t>
      </w:r>
      <w:r>
        <w:rPr>
          <w:b/>
          <w:bCs/>
          <w:sz w:val="21"/>
          <w:szCs w:val="21"/>
        </w:rPr>
        <w:t xml:space="preserve">Funcionario</w:t>
      </w:r>
      <w:r>
        <w:rPr>
          <w:sz w:val="21"/>
          <w:szCs w:val="21"/>
        </w:rPr>
        <w:t xml:space="preserve"> o </w:t>
      </w:r>
      <w:r>
        <w:rPr>
          <w:b/>
          <w:bCs/>
          <w:sz w:val="21"/>
          <w:szCs w:val="21"/>
        </w:rPr>
        <w:t xml:space="preserve">Super-admin</w:t>
      </w:r>
      <w:r>
        <w:rPr>
          <w:sz w:val="21"/>
          <w:szCs w:val="21"/>
        </w:rPr>
        <w:t xml:space="preserve">).</w:t>
      </w:r>
    </w:p>
    <w:p>
      <w:pPr>
        <w:spacing w:after="60"/>
        <w:ind w:left="360" w:hanging="26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Guardar y entregar las credenciales a la persona por un canal seguro.</w:t>
      </w:r>
    </w:p>
    <w:p>
      <w:pPr>
        <w:spacing w:after="140" w:line="276"/>
        <w:jc w:val="both"/>
      </w:pPr>
      <w:r>
        <w:rPr>
          <w:sz w:val="21"/>
          <w:szCs w:val="21"/>
        </w:rPr>
        <w:t xml:space="preserve">Cuando alguien deja de participar, </w:t>
      </w:r>
      <w:r>
        <w:rPr>
          <w:b/>
          <w:bCs/>
          <w:sz w:val="21"/>
          <w:szCs w:val="21"/>
        </w:rPr>
        <w:t xml:space="preserve">desactivar</w:t>
      </w:r>
      <w:r>
        <w:rPr>
          <w:sz w:val="21"/>
          <w:szCs w:val="21"/>
        </w:rPr>
        <w:t xml:space="preserve"> su cuenta con el interruptor Activo/Inactivo, sin eliminarla. Así se conserva el registro de lo que hizo.</w:t>
      </w:r>
    </w:p>
    <w:p>
      <w:pPr>
        <w:spacing w:after="60" w:before="160"/>
        <w:jc w:val="center"/>
      </w:pPr>
      <w:r>
        <w:drawing>
          <wp:inline distT="0" distB="0" distL="0" distR="0">
            <wp:extent cx="8153400" cy="509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767171"/>
          <w:sz w:val="17"/>
          <w:szCs w:val="17"/>
        </w:rPr>
        <w:t xml:space="preserve">Gestión de usuarios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B9. Revisar la bitácora (super-admin)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Bitácora</w:t>
      </w:r>
      <w:r>
        <w:rPr>
          <w:sz w:val="21"/>
          <w:szCs w:val="21"/>
        </w:rPr>
        <w:t xml:space="preserve"> registra automáticamente quién hizo qué y cuándo: creación y cambios de consultas, antecedentes, observaciones y cuentas. Es de solo lectura y se puede filtrar por ámbito, tipo de evento, usuario y fechas. Nunca registra contraseñas.</w:t>
      </w:r>
    </w:p>
    <w:p>
      <w:pPr>
        <w:spacing w:after="60" w:before="160"/>
        <w:jc w:val="center"/>
      </w:pPr>
      <w:r>
        <w:drawing>
          <wp:inline distT="0" distB="0" distL="0" distR="0">
            <wp:extent cx="4505325" cy="876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767171"/>
          <w:sz w:val="17"/>
          <w:szCs w:val="17"/>
        </w:rPr>
        <w:t xml:space="preserve">Bitácora de auditoría</w:t>
      </w:r>
    </w:p>
    <w:p>
      <w:pPr>
        <w:pBdr>
          <w:bottom w:val="single" w:color="D9D9D9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Preguntas frecuentes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Un ciudadano escribió mal su observación, ¿se puede corregir?</w:t>
      </w:r>
      <w:r>
        <w:rPr>
          <w:sz w:val="21"/>
          <w:szCs w:val="21"/>
        </w:rPr>
        <w:t xml:space="preserve"> No. Puede enviar una nueva mientras el proceso siga abierto. Si es un envío de prueba o spam, un super-admin puede archivarlo.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¿Se puede eliminar una consulta?</w:t>
      </w:r>
      <w:r>
        <w:rPr>
          <w:sz w:val="21"/>
          <w:szCs w:val="21"/>
        </w:rPr>
        <w:t xml:space="preserve"> No. Se </w:t>
      </w:r>
      <w:r>
        <w:rPr>
          <w:b/>
          <w:bCs/>
          <w:sz w:val="21"/>
          <w:szCs w:val="21"/>
        </w:rPr>
        <w:t xml:space="preserve">archiva</w:t>
      </w:r>
      <w:r>
        <w:rPr>
          <w:sz w:val="21"/>
          <w:szCs w:val="21"/>
        </w:rPr>
        <w:t xml:space="preserve">, lo que la retira de la vista y conserva todo el expediente. Se restaura desde el filtro de archivadas.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Publiqué una respuesta con un error, ¿qué hago?</w:t>
      </w:r>
      <w:r>
        <w:rPr>
          <w:sz w:val="21"/>
          <w:szCs w:val="21"/>
        </w:rPr>
        <w:t xml:space="preserve"> La respuesta publicada no cambia. Corresponde emitir una comunicación complementaria por la vía institucional que el GORE defina.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Cerré una consulta antes de tiempo, ¿se perdieron observaciones?</w:t>
      </w:r>
      <w:r>
        <w:rPr>
          <w:sz w:val="21"/>
          <w:szCs w:val="21"/>
        </w:rPr>
        <w:t xml:space="preserve"> No. Cambiar el estado no borra nada. Basta con volver a dejarla </w:t>
      </w:r>
      <w:r>
        <w:rPr>
          <w:i/>
          <w:iCs/>
          <w:sz w:val="21"/>
          <w:szCs w:val="21"/>
        </w:rPr>
        <w:t xml:space="preserve">Activa</w:t>
      </w:r>
      <w:r>
        <w:rPr>
          <w:sz w:val="21"/>
          <w:szCs w:val="21"/>
        </w:rPr>
        <w:t xml:space="preserve"> y ajustar las fechas.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¿Se pierden los datos si falla el servidor?</w:t>
      </w:r>
      <w:r>
        <w:rPr>
          <w:sz w:val="21"/>
          <w:szCs w:val="21"/>
        </w:rPr>
        <w:t xml:space="preserve"> No. La base de datos tiene respaldos automáticos diarios con 7 días de retención y los archivos se guardan en almacenamiento redundante de AWS.</w:t>
      </w:r>
    </w:p>
    <w:p>
      <w:pPr>
        <w:spacing w:after="140" w:line="276"/>
        <w:jc w:val="both"/>
      </w:pPr>
      <w:r>
        <w:rPr>
          <w:b/>
          <w:bCs/>
          <w:sz w:val="21"/>
          <w:szCs w:val="21"/>
        </w:rPr>
        <w:t xml:space="preserve">¿A quién recurro si algo no funciona?</w:t>
      </w:r>
      <w:r>
        <w:rPr>
          <w:sz w:val="21"/>
          <w:szCs w:val="21"/>
        </w:rPr>
        <w:t xml:space="preserve"> Al equipo de la Unidad de Informática del GORE. Durante el período de garantía técnica, AWNA atiende las incidencias que informática le escale.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0"/>
      </w:tabs>
    </w:pPr>
    <w:r>
      <w:rPr>
        <w:color w:val="767171"/>
        <w:sz w:val="16"/>
        <w:szCs w:val="16"/>
      </w:rPr>
      <w:t xml:space="preserve">Manual de Usuario · GORE Valparaíso · AWNA</w:t>
    </w:r>
    <w:r>
      <w:rPr>
        <w:sz w:val="16"/>
        <w:szCs w:val="16"/>
      </w:rPr>
      <w:t xml:space="preserve">	</w:t>
    </w:r>
    <w:r>
      <w:rPr>
        <w:color w:val="767171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767171"/>
        <w:sz w:val="16"/>
        <w:szCs w:val="16"/>
      </w:rPr>
      <w:t xml:space="preserve">Plataforma de Procesos Participativos Reglados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fd369a1e6d78c14b919f39f01a0dd07b233a7a7.png"/><Relationship Id="rId10" Type="http://schemas.openxmlformats.org/officeDocument/2006/relationships/image" Target="media/79024e9e54394bfa0653b9d762a9d9297c818215.png"/><Relationship Id="rId11" Type="http://schemas.openxmlformats.org/officeDocument/2006/relationships/image" Target="media/34d50cc404315fc688773ac8f4926b94171f9196.png"/><Relationship Id="rId12" Type="http://schemas.openxmlformats.org/officeDocument/2006/relationships/image" Target="media/e4c9bda91e570ad1147b2c0ce0692faee44bc843.png"/><Relationship Id="rId13" Type="http://schemas.openxmlformats.org/officeDocument/2006/relationships/image" Target="media/c6f1c7335bc9eb8e852c776009fe8e0c6bf8c055.png"/><Relationship Id="rId14" Type="http://schemas.openxmlformats.org/officeDocument/2006/relationships/image" Target="media/521514095de170feedd3a8c7ebe1f5b8d20645e3.png"/><Relationship Id="rId15" Type="http://schemas.openxmlformats.org/officeDocument/2006/relationships/image" Target="media/c5849a3bdcaf0f6b3438e2e9fbf4e011c62eb6f9.png"/><Relationship Id="rId16" Type="http://schemas.openxmlformats.org/officeDocument/2006/relationships/image" Target="media/c54b15b87441abfb56d24bf4f01ae736774a3ec4.png"/><Relationship Id="rId17" Type="http://schemas.openxmlformats.org/officeDocument/2006/relationships/image" Target="media/6662143f96cb9b027e6b5069e1d15d3b555bf53c.png"/><Relationship Id="rId18" Type="http://schemas.openxmlformats.org/officeDocument/2006/relationships/image" Target="media/2d425f02b579df1b202d3132c13068f92cc8b4dd.png"/><Relationship Id="rId19" Type="http://schemas.openxmlformats.org/officeDocument/2006/relationships/image" Target="media/46824a2607a397158ddb410583ae8257b31e81e3.png"/><Relationship Id="rId20" Type="http://schemas.openxmlformats.org/officeDocument/2006/relationships/image" Target="media/cb1b382c2da854cd0232aac059a40c7a06b4fd37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GORE Valparaíso</dc:title>
  <dc:creator>AWNA</dc:creator>
  <dc:description>Documentación técnica de entrega</dc:description>
  <cp:lastModifiedBy>Un-named</cp:lastModifiedBy>
  <cp:revision>1</cp:revision>
  <dcterms:created xsi:type="dcterms:W3CDTF">2026-09-29T17:37:46.963Z</dcterms:created>
  <dcterms:modified xsi:type="dcterms:W3CDTF">2026-09-29T17:37:46.963Z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