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Arial" w:hAnsi="Arial" w:eastAsia="Arial"/>
          <w:b/>
          <w:color w:val="17324D"/>
          <w:sz w:val="56"/>
        </w:rPr>
        <w:t>THE WORK QUEUE</w:t>
        <w:br/>
        <w:t>ECOSYSTEM</w:t>
      </w:r>
    </w:p>
    <w:p>
      <w:pPr>
        <w:spacing w:after="320"/>
      </w:pPr>
      <w:r>
        <w:rPr>
          <w:rFonts w:ascii="Arial" w:hAnsi="Arial" w:eastAsia="Arial"/>
          <w:color w:val="265B87"/>
          <w:sz w:val="26"/>
        </w:rPr>
        <w:t>A systems map of the applications, data, documentation, infrastructure, workflows, and human labor that make the tool suite function.</w:t>
      </w:r>
    </w:p>
    <w:tbl>
      <w:tblPr>
        <w:tblW w:type="auto" w:w="0"/>
        <w:jc w:val="left"/>
        <w:tblLook w:firstColumn="1" w:firstRow="1" w:lastColumn="0" w:lastRow="0" w:noHBand="0" w:noVBand="1" w:val="04A0"/>
      </w:tblPr>
      <w:tblGrid>
        <w:gridCol w:w="9994"/>
      </w:tblGrid>
      <w:tr>
        <w:trPr>
          <w:trHeight w:val="100"/>
        </w:trPr>
        <w:tc>
          <w:tcPr>
            <w:tcW w:type="dxa" w:w="2160"/>
            <w:shd w:fill="E0A92F"/>
          </w:tcPr>
          <w:p>
            <w:r/>
          </w:p>
        </w:tc>
      </w:tr>
    </w:tbl>
    <w:p>
      <w:pPr>
        <w:spacing w:after="80"/>
      </w:pPr>
    </w:p>
    <w:tbl>
      <w:tblPr>
        <w:tblW w:type="auto" w:w="0"/>
        <w:jc w:val="center"/>
        <w:tblLayout w:type="autofit"/>
        <w:tblLook w:firstColumn="1" w:firstRow="1" w:lastColumn="0" w:lastRow="0" w:noHBand="0" w:noVBand="1" w:val="04A0"/>
      </w:tblPr>
      <w:tblGrid>
        <w:gridCol w:w="9994"/>
      </w:tblGrid>
      <w:tr>
        <w:tc>
          <w:tcPr>
            <w:tcW w:type="dxa" w:w="9994"/>
            <w:shd w:fill="FFF4D6"/>
            <w:tcBorders>
              <w:top w:val="nil"/>
              <w:left w:val="single" w:sz="16" w:color="E0A92F"/>
              <w:bottom w:val="nil"/>
              <w:right w:val="nil"/>
            </w:tcBorders>
            <w:vAlign w:val="center"/>
          </w:tcPr>
          <w:p>
            <w:pPr>
              <w:spacing w:after="60"/>
            </w:pPr>
            <w:r>
              <w:rPr>
                <w:rFonts w:ascii="Arial" w:hAnsi="Arial" w:eastAsia="Arial"/>
                <w:b/>
                <w:color w:val="17324D"/>
                <w:sz w:val="20"/>
              </w:rPr>
              <w:t>Core premise</w:t>
            </w:r>
          </w:p>
          <w:p>
            <w:pPr>
              <w:spacing w:after="0" w:line="254" w:lineRule="auto"/>
            </w:pPr>
            <w:r>
              <w:rPr>
                <w:rFonts w:ascii="Arial" w:hAnsi="Arial" w:eastAsia="Arial"/>
                <w:color w:val="23282D"/>
                <w:sz w:val="19"/>
              </w:rPr>
              <w:t>Work Queue is not a single app. It is a connected operating environment. The visible interface depends on many external systems, files, rules, services, and repeated human decisions. No single command or prompt assembles and maintains the entire ecosystem.</w:t>
            </w:r>
          </w:p>
        </w:tc>
      </w:tr>
    </w:tbl>
    <w:p>
      <w:pPr>
        <w:spacing w:after="0"/>
      </w:pPr>
    </w:p>
    <w:p>
      <w:pPr>
        <w:spacing w:before="360" w:after="80"/>
      </w:pPr>
      <w:r>
        <w:rPr>
          <w:rFonts w:ascii="Arial" w:hAnsi="Arial" w:eastAsia="Arial"/>
          <w:b/>
          <w:color w:val="17324D"/>
          <w:sz w:val="20"/>
        </w:rPr>
        <w:t>Prepared as a discussion framework</w:t>
      </w:r>
    </w:p>
    <w:p>
      <w:r>
        <w:rPr>
          <w:rFonts w:ascii="Arial" w:hAnsi="Arial" w:eastAsia="Arial"/>
          <w:color w:val="5C6874"/>
          <w:sz w:val="19"/>
        </w:rPr>
        <w:t>This document is organized so each component can be examined separately: what it does, what it connects to, and how it helps hold the applications together.</w:t>
      </w:r>
    </w:p>
    <w:p>
      <w:pPr>
        <w:spacing w:before="560"/>
      </w:pPr>
      <w:r>
        <w:rPr>
          <w:rFonts w:ascii="Arial" w:hAnsi="Arial" w:eastAsia="Arial"/>
          <w:color w:val="5C6874"/>
          <w:sz w:val="19"/>
        </w:rPr>
        <w:t>August 2, 2026</w:t>
      </w:r>
    </w:p>
    <w:p>
      <w:r>
        <w:br w:type="page"/>
      </w:r>
    </w:p>
    <w:p>
      <w:pPr>
        <w:pStyle w:val="Heading1"/>
        <w:spacing w:before="320" w:after="40"/>
        <w:keepNext/>
      </w:pPr>
      <w:r>
        <w:rPr>
          <w:rFonts w:ascii="Arial" w:hAnsi="Arial" w:eastAsia="Arial"/>
          <w:b/>
          <w:color w:val="17324D"/>
          <w:sz w:val="34"/>
        </w:rPr>
        <w:t>System at a glance</w:t>
      </w:r>
    </w:p>
    <w:p>
      <w:pPr>
        <w:spacing w:after="160"/>
        <w:keepNext/>
      </w:pPr>
      <w:r>
        <w:rPr>
          <w:rFonts w:ascii="Arial" w:hAnsi="Arial" w:eastAsia="Arial"/>
          <w:i/>
          <w:color w:val="5C6874"/>
          <w:sz w:val="19"/>
        </w:rPr>
        <w:t>The visible application is only the front edge of a much larger environment.</w:t>
      </w:r>
    </w:p>
    <w:tbl>
      <w:tblPr>
        <w:tblW w:type="auto" w:w="0"/>
        <w:jc w:val="center"/>
        <w:tblLook w:firstColumn="1" w:firstRow="1" w:lastColumn="0" w:lastRow="0" w:noHBand="0" w:noVBand="1" w:val="04A0"/>
      </w:tblPr>
      <w:tblGrid>
        <w:gridCol w:w="9994"/>
      </w:tblGrid>
      <w:tr>
        <w:tc>
          <w:tcPr>
            <w:tcW w:type="dxa" w:w="9994"/>
            <w:shd w:fill="F3F5F7"/>
            <w:tcBorders>
              <w:top w:val="single" w:sz="6" w:color="D9E0E6"/>
              <w:left w:val="single" w:sz="6" w:color="D9E0E6"/>
              <w:bottom w:val="single" w:sz="6" w:color="D9E0E6"/>
              <w:right w:val="single" w:sz="6" w:color="D9E0E6"/>
            </w:tcBorders>
          </w:tcPr>
          <w:p>
            <w:pPr>
              <w:spacing w:after="0"/>
            </w:pPr>
            <w:r>
              <w:rPr>
                <w:rFonts w:ascii="Consolas" w:hAnsi="Consolas" w:eastAsia="Consolas"/>
                <w:color w:val="23282D"/>
                <w:sz w:val="17"/>
              </w:rPr>
              <w:t>Work Queue ecosystem</w:t>
            </w:r>
          </w:p>
          <w:p>
            <w:pPr>
              <w:spacing w:after="0"/>
            </w:pPr>
            <w:r>
              <w:rPr>
                <w:rFonts w:ascii="Consolas" w:hAnsi="Consolas" w:eastAsia="Consolas"/>
                <w:color w:val="23282D"/>
                <w:sz w:val="17"/>
              </w:rPr>
              <w:t>├── Application layer</w:t>
            </w:r>
          </w:p>
          <w:p>
            <w:pPr>
              <w:spacing w:after="0"/>
            </w:pPr>
            <w:r>
              <w:rPr>
                <w:rFonts w:ascii="Consolas" w:hAnsi="Consolas" w:eastAsia="Consolas"/>
                <w:color w:val="23282D"/>
                <w:sz w:val="17"/>
              </w:rPr>
              <w:t>│   ├── Work Queue / AppSheet</w:t>
            </w:r>
          </w:p>
          <w:p>
            <w:pPr>
              <w:spacing w:after="0"/>
            </w:pPr>
            <w:r>
              <w:rPr>
                <w:rFonts w:ascii="Consolas" w:hAnsi="Consolas" w:eastAsia="Consolas"/>
                <w:color w:val="23282D"/>
                <w:sz w:val="17"/>
              </w:rPr>
              <w:t>│   ├── Google Sheets data</w:t>
            </w:r>
          </w:p>
          <w:p>
            <w:pPr>
              <w:spacing w:after="0"/>
            </w:pPr>
            <w:r>
              <w:rPr>
                <w:rFonts w:ascii="Consolas" w:hAnsi="Consolas" w:eastAsia="Consolas"/>
                <w:color w:val="23282D"/>
                <w:sz w:val="17"/>
              </w:rPr>
              <w:t>│   ├── Employees and personnel records</w:t>
            </w:r>
          </w:p>
          <w:p>
            <w:pPr>
              <w:spacing w:after="0"/>
            </w:pPr>
            <w:r>
              <w:rPr>
                <w:rFonts w:ascii="Consolas" w:hAnsi="Consolas" w:eastAsia="Consolas"/>
                <w:color w:val="23282D"/>
                <w:sz w:val="17"/>
              </w:rPr>
              <w:t>│   └── Inventory and SDS relationships</w:t>
            </w:r>
          </w:p>
          <w:p>
            <w:pPr>
              <w:spacing w:after="0"/>
            </w:pPr>
            <w:r>
              <w:rPr>
                <w:rFonts w:ascii="Consolas" w:hAnsi="Consolas" w:eastAsia="Consolas"/>
                <w:color w:val="23282D"/>
                <w:sz w:val="17"/>
              </w:rPr>
              <w:t>├── Knowledge and publishing layer</w:t>
            </w:r>
          </w:p>
          <w:p>
            <w:pPr>
              <w:spacing w:after="0"/>
            </w:pPr>
            <w:r>
              <w:rPr>
                <w:rFonts w:ascii="Consolas" w:hAnsi="Consolas" w:eastAsia="Consolas"/>
                <w:color w:val="23282D"/>
                <w:sz w:val="17"/>
              </w:rPr>
              <w:t>│   ├── Documentation project</w:t>
            </w:r>
          </w:p>
          <w:p>
            <w:pPr>
              <w:spacing w:after="0"/>
            </w:pPr>
            <w:r>
              <w:rPr>
                <w:rFonts w:ascii="Consolas" w:hAnsi="Consolas" w:eastAsia="Consolas"/>
                <w:color w:val="23282D"/>
                <w:sz w:val="17"/>
              </w:rPr>
              <w:t>│   ├── JSON workflows, schemas, and rulesets</w:t>
            </w:r>
          </w:p>
          <w:p>
            <w:pPr>
              <w:spacing w:after="0"/>
            </w:pPr>
            <w:r>
              <w:rPr>
                <w:rFonts w:ascii="Consolas" w:hAnsi="Consolas" w:eastAsia="Consolas"/>
                <w:color w:val="23282D"/>
                <w:sz w:val="17"/>
              </w:rPr>
              <w:t>│   ├── GitHub repository and GitHub Pages</w:t>
            </w:r>
          </w:p>
          <w:p>
            <w:pPr>
              <w:spacing w:after="0"/>
            </w:pPr>
            <w:r>
              <w:rPr>
                <w:rFonts w:ascii="Consolas" w:hAnsi="Consolas" w:eastAsia="Consolas"/>
                <w:color w:val="23282D"/>
                <w:sz w:val="17"/>
              </w:rPr>
              <w:t>│   ├── Google Sites documentation index</w:t>
            </w:r>
          </w:p>
          <w:p>
            <w:pPr>
              <w:spacing w:after="0"/>
            </w:pPr>
            <w:r>
              <w:rPr>
                <w:rFonts w:ascii="Consolas" w:hAnsi="Consolas" w:eastAsia="Consolas"/>
                <w:color w:val="23282D"/>
                <w:sz w:val="17"/>
              </w:rPr>
              <w:t>│   └── Email Composer and work updates</w:t>
            </w:r>
          </w:p>
          <w:p>
            <w:pPr>
              <w:spacing w:after="0"/>
            </w:pPr>
            <w:r>
              <w:rPr>
                <w:rFonts w:ascii="Consolas" w:hAnsi="Consolas" w:eastAsia="Consolas"/>
                <w:color w:val="23282D"/>
                <w:sz w:val="17"/>
              </w:rPr>
              <w:t>├── Development and integration layer</w:t>
            </w:r>
          </w:p>
          <w:p>
            <w:pPr>
              <w:spacing w:after="0"/>
            </w:pPr>
            <w:r>
              <w:rPr>
                <w:rFonts w:ascii="Consolas" w:hAnsi="Consolas" w:eastAsia="Consolas"/>
                <w:color w:val="23282D"/>
                <w:sz w:val="17"/>
              </w:rPr>
              <w:t>│   ├── VS Code development environment</w:t>
            </w:r>
          </w:p>
          <w:p>
            <w:pPr>
              <w:spacing w:after="0"/>
            </w:pPr>
            <w:r>
              <w:rPr>
                <w:rFonts w:ascii="Consolas" w:hAnsi="Consolas" w:eastAsia="Consolas"/>
                <w:color w:val="23282D"/>
                <w:sz w:val="17"/>
              </w:rPr>
              <w:t>│   ├── Google Drive and Apps Script resources</w:t>
            </w:r>
          </w:p>
          <w:p>
            <w:pPr>
              <w:spacing w:after="0"/>
            </w:pPr>
            <w:r>
              <w:rPr>
                <w:rFonts w:ascii="Consolas" w:hAnsi="Consolas" w:eastAsia="Consolas"/>
                <w:color w:val="23282D"/>
                <w:sz w:val="17"/>
              </w:rPr>
              <w:t>│   ├── Versioning, paths, IDs, permissions, and deployments</w:t>
            </w:r>
          </w:p>
          <w:p>
            <w:pPr>
              <w:spacing w:after="0"/>
            </w:pPr>
            <w:r>
              <w:rPr>
                <w:rFonts w:ascii="Consolas" w:hAnsi="Consolas" w:eastAsia="Consolas"/>
                <w:color w:val="23282D"/>
                <w:sz w:val="17"/>
              </w:rPr>
              <w:t>│   └── Testing and reconciliation across systems</w:t>
            </w:r>
          </w:p>
          <w:p>
            <w:pPr>
              <w:spacing w:after="0"/>
            </w:pPr>
            <w:r>
              <w:rPr>
                <w:rFonts w:ascii="Consolas" w:hAnsi="Consolas" w:eastAsia="Consolas"/>
                <w:color w:val="23282D"/>
                <w:sz w:val="17"/>
              </w:rPr>
              <w:t>├── Access layer</w:t>
            </w:r>
          </w:p>
          <w:p>
            <w:pPr>
              <w:spacing w:after="0"/>
            </w:pPr>
            <w:r>
              <w:rPr>
                <w:rFonts w:ascii="Consolas" w:hAnsi="Consolas" w:eastAsia="Consolas"/>
                <w:color w:val="23282D"/>
                <w:sz w:val="17"/>
              </w:rPr>
              <w:t>│   ├── Central tools webpage</w:t>
            </w:r>
          </w:p>
          <w:p>
            <w:pPr>
              <w:spacing w:after="0"/>
            </w:pPr>
            <w:r>
              <w:rPr>
                <w:rFonts w:ascii="Consolas" w:hAnsi="Consolas" w:eastAsia="Consolas"/>
                <w:color w:val="23282D"/>
                <w:sz w:val="17"/>
              </w:rPr>
              <w:t>│   └── Mobile internet access</w:t>
            </w:r>
          </w:p>
          <w:p>
            <w:pPr>
              <w:spacing w:after="0"/>
            </w:pPr>
            <w:r>
              <w:rPr>
                <w:rFonts w:ascii="Consolas" w:hAnsi="Consolas" w:eastAsia="Consolas"/>
                <w:color w:val="23282D"/>
                <w:sz w:val="17"/>
              </w:rPr>
              <w:t>└── Human operations layer</w:t>
            </w:r>
          </w:p>
          <w:p>
            <w:pPr>
              <w:spacing w:after="0"/>
            </w:pPr>
            <w:r>
              <w:rPr>
                <w:rFonts w:ascii="Consolas" w:hAnsi="Consolas" w:eastAsia="Consolas"/>
                <w:color w:val="23282D"/>
                <w:sz w:val="17"/>
              </w:rPr>
              <w:t xml:space="preserve">    ├── Sole architect and operator</w:t>
            </w:r>
          </w:p>
          <w:p>
            <w:pPr>
              <w:spacing w:after="0"/>
            </w:pPr>
            <w:r>
              <w:rPr>
                <w:rFonts w:ascii="Consolas" w:hAnsi="Consolas" w:eastAsia="Consolas"/>
                <w:color w:val="23282D"/>
                <w:sz w:val="17"/>
              </w:rPr>
              <w:t xml:space="preserve">    ├── Documentation and communication labor</w:t>
            </w:r>
          </w:p>
          <w:p>
            <w:pPr>
              <w:spacing w:after="0"/>
            </w:pPr>
            <w:r>
              <w:rPr>
                <w:rFonts w:ascii="Consolas" w:hAnsi="Consolas" w:eastAsia="Consolas"/>
                <w:color w:val="23282D"/>
                <w:sz w:val="17"/>
              </w:rPr>
              <w:t xml:space="preserve">    └── Little participation, review, or response</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EAF2F8"/>
            <w:tcBorders>
              <w:top w:val="nil"/>
              <w:left w:val="single" w:sz="16" w:color="265B87"/>
              <w:bottom w:val="nil"/>
              <w:right w:val="nil"/>
            </w:tcBorders>
            <w:vAlign w:val="center"/>
          </w:tcPr>
          <w:p>
            <w:pPr>
              <w:spacing w:after="60"/>
            </w:pPr>
            <w:r>
              <w:rPr>
                <w:rFonts w:ascii="Arial" w:hAnsi="Arial" w:eastAsia="Arial"/>
                <w:b/>
                <w:color w:val="17324D"/>
                <w:sz w:val="20"/>
              </w:rPr>
              <w:t>The central distinction</w:t>
            </w:r>
          </w:p>
          <w:p>
            <w:pPr>
              <w:spacing w:after="0" w:line="254" w:lineRule="auto"/>
            </w:pPr>
            <w:r>
              <w:rPr>
                <w:rFonts w:ascii="Arial" w:hAnsi="Arial" w:eastAsia="Arial"/>
                <w:color w:val="23282D"/>
                <w:sz w:val="19"/>
              </w:rPr>
              <w:t>AI can generate a function, a query, a JSON object, or a block of code. A functioning operational system requires those pieces to be selected, placed, connected, tested, documented, deployed, and maintained over time.</w:t>
            </w:r>
          </w:p>
        </w:tc>
      </w:tr>
    </w:tbl>
    <w:p>
      <w:pPr>
        <w:spacing w:after="0"/>
      </w:pPr>
    </w:p>
    <w:p>
      <w:pPr>
        <w:spacing w:before="240" w:after="80"/>
      </w:pPr>
      <w:r>
        <w:rPr>
          <w:rFonts w:ascii="Arial" w:hAnsi="Arial" w:eastAsia="Arial"/>
          <w:b/>
          <w:color w:val="17324D"/>
          <w:sz w:val="24"/>
        </w:rPr>
        <w:t>Discussion map</w:t>
      </w:r>
    </w:p>
    <w:tbl>
      <w:tblPr>
        <w:tblW w:type="auto" w:w="0"/>
        <w:jc w:val="center"/>
        <w:tblLayout w:type="fixed"/>
        <w:tblLook w:firstColumn="1" w:firstRow="1" w:lastColumn="0" w:lastRow="0" w:noHBand="0" w:noVBand="1" w:val="04A0"/>
      </w:tblPr>
      <w:tblGrid>
        <w:gridCol w:w="1728"/>
        <w:gridCol w:w="8208"/>
      </w:tblGrid>
      <w:tr>
        <w:trPr>
          <w:tblHeader w:val="true"/>
        </w:trPr>
        <w:tc>
          <w:tcPr>
            <w:tcW w:type="dxa" w:w="4997"/>
            <w:shd w:fill="265B87"/>
            <w:vAlign w:val="center"/>
          </w:tcPr>
          <w:p>
            <w:r>
              <w:rPr>
                <w:rFonts w:ascii="Arial" w:hAnsi="Arial" w:eastAsia="Arial"/>
                <w:b/>
                <w:color w:val="FFFFFF"/>
                <w:sz w:val="18"/>
              </w:rPr>
              <w:t>Section</w:t>
            </w:r>
          </w:p>
        </w:tc>
        <w:tc>
          <w:tcPr>
            <w:tcW w:type="dxa" w:w="4997"/>
            <w:shd w:fill="265B87"/>
            <w:vAlign w:val="center"/>
          </w:tcPr>
          <w:p>
            <w:r>
              <w:rPr>
                <w:rFonts w:ascii="Arial" w:hAnsi="Arial" w:eastAsia="Arial"/>
                <w:b/>
                <w:color w:val="FFFFFF"/>
                <w:sz w:val="18"/>
              </w:rPr>
              <w:t>Focus</w:t>
            </w:r>
          </w:p>
        </w:tc>
      </w:tr>
      <w:tr>
        <w:tc>
          <w:tcPr>
            <w:tcW w:type="dxa" w:w="1728"/>
            <w:vAlign w:val="center"/>
            <w:shd w:fill="EAF2F8"/>
          </w:tcPr>
          <w:p>
            <w:pPr>
              <w:spacing w:after="30"/>
            </w:pPr>
            <w:r>
              <w:rPr>
                <w:rFonts w:ascii="Arial" w:hAnsi="Arial" w:eastAsia="Arial"/>
                <w:b/>
                <w:color w:val="17324D"/>
                <w:sz w:val="18"/>
              </w:rPr>
              <w:t>Layer I</w:t>
            </w:r>
          </w:p>
        </w:tc>
        <w:tc>
          <w:tcPr>
            <w:tcW w:type="dxa" w:w="8208"/>
            <w:vAlign w:val="center"/>
          </w:tcPr>
          <w:p>
            <w:pPr>
              <w:spacing w:after="30"/>
            </w:pPr>
            <w:r>
              <w:rPr>
                <w:rFonts w:ascii="Arial" w:hAnsi="Arial" w:eastAsia="Arial"/>
                <w:b w:val="0"/>
                <w:color w:val="23282D"/>
                <w:sz w:val="18"/>
              </w:rPr>
              <w:t>Application and operational data</w:t>
            </w:r>
          </w:p>
        </w:tc>
      </w:tr>
      <w:tr>
        <w:tc>
          <w:tcPr>
            <w:tcW w:type="dxa" w:w="1728"/>
            <w:vAlign w:val="center"/>
            <w:shd w:fill="EAF2F8"/>
          </w:tcPr>
          <w:p>
            <w:pPr>
              <w:spacing w:after="30"/>
            </w:pPr>
            <w:r>
              <w:rPr>
                <w:rFonts w:ascii="Arial" w:hAnsi="Arial" w:eastAsia="Arial"/>
                <w:b/>
                <w:color w:val="17324D"/>
                <w:sz w:val="18"/>
              </w:rPr>
              <w:t>Layer II</w:t>
            </w:r>
          </w:p>
        </w:tc>
        <w:tc>
          <w:tcPr>
            <w:tcW w:type="dxa" w:w="8208"/>
            <w:vAlign w:val="center"/>
          </w:tcPr>
          <w:p>
            <w:pPr>
              <w:spacing w:after="30"/>
            </w:pPr>
            <w:r>
              <w:rPr>
                <w:rFonts w:ascii="Arial" w:hAnsi="Arial" w:eastAsia="Arial"/>
                <w:b w:val="0"/>
                <w:color w:val="23282D"/>
                <w:sz w:val="18"/>
              </w:rPr>
              <w:t>Safety information, knowledge, and documentation</w:t>
            </w:r>
          </w:p>
        </w:tc>
      </w:tr>
      <w:tr>
        <w:tc>
          <w:tcPr>
            <w:tcW w:type="dxa" w:w="1728"/>
            <w:vAlign w:val="center"/>
            <w:shd w:fill="EAF2F8"/>
          </w:tcPr>
          <w:p>
            <w:pPr>
              <w:spacing w:after="30"/>
            </w:pPr>
            <w:r>
              <w:rPr>
                <w:rFonts w:ascii="Arial" w:hAnsi="Arial" w:eastAsia="Arial"/>
                <w:b/>
                <w:color w:val="17324D"/>
                <w:sz w:val="18"/>
              </w:rPr>
              <w:t>Layer III</w:t>
            </w:r>
          </w:p>
        </w:tc>
        <w:tc>
          <w:tcPr>
            <w:tcW w:type="dxa" w:w="8208"/>
            <w:vAlign w:val="center"/>
          </w:tcPr>
          <w:p>
            <w:pPr>
              <w:spacing w:after="30"/>
            </w:pPr>
            <w:r>
              <w:rPr>
                <w:rFonts w:ascii="Arial" w:hAnsi="Arial" w:eastAsia="Arial"/>
                <w:b w:val="0"/>
                <w:color w:val="23282D"/>
                <w:sz w:val="18"/>
              </w:rPr>
              <w:t>Hosting, files, development, and integration</w:t>
            </w:r>
          </w:p>
        </w:tc>
      </w:tr>
      <w:tr>
        <w:tc>
          <w:tcPr>
            <w:tcW w:type="dxa" w:w="1728"/>
            <w:vAlign w:val="center"/>
            <w:shd w:fill="EAF2F8"/>
          </w:tcPr>
          <w:p>
            <w:pPr>
              <w:spacing w:after="30"/>
            </w:pPr>
            <w:r>
              <w:rPr>
                <w:rFonts w:ascii="Arial" w:hAnsi="Arial" w:eastAsia="Arial"/>
                <w:b/>
                <w:color w:val="17324D"/>
                <w:sz w:val="18"/>
              </w:rPr>
              <w:t>Layer IV</w:t>
            </w:r>
          </w:p>
        </w:tc>
        <w:tc>
          <w:tcPr>
            <w:tcW w:type="dxa" w:w="8208"/>
            <w:vAlign w:val="center"/>
          </w:tcPr>
          <w:p>
            <w:pPr>
              <w:spacing w:after="30"/>
            </w:pPr>
            <w:r>
              <w:rPr>
                <w:rFonts w:ascii="Arial" w:hAnsi="Arial" w:eastAsia="Arial"/>
                <w:b w:val="0"/>
                <w:color w:val="23282D"/>
                <w:sz w:val="18"/>
              </w:rPr>
              <w:t>Access, communication, and publication</w:t>
            </w:r>
          </w:p>
        </w:tc>
      </w:tr>
      <w:tr>
        <w:tc>
          <w:tcPr>
            <w:tcW w:type="dxa" w:w="1728"/>
            <w:vAlign w:val="center"/>
            <w:shd w:fill="EAF2F8"/>
          </w:tcPr>
          <w:p>
            <w:pPr>
              <w:spacing w:after="30"/>
            </w:pPr>
            <w:r>
              <w:rPr>
                <w:rFonts w:ascii="Arial" w:hAnsi="Arial" w:eastAsia="Arial"/>
                <w:b/>
                <w:color w:val="17324D"/>
                <w:sz w:val="18"/>
              </w:rPr>
              <w:t>Layer V</w:t>
            </w:r>
          </w:p>
        </w:tc>
        <w:tc>
          <w:tcPr>
            <w:tcW w:type="dxa" w:w="8208"/>
            <w:vAlign w:val="center"/>
          </w:tcPr>
          <w:p>
            <w:pPr>
              <w:spacing w:after="30"/>
            </w:pPr>
            <w:r>
              <w:rPr>
                <w:rFonts w:ascii="Arial" w:hAnsi="Arial" w:eastAsia="Arial"/>
                <w:b w:val="0"/>
                <w:color w:val="23282D"/>
                <w:sz w:val="18"/>
              </w:rPr>
              <w:t>Human operations, cost, and organizational conditions</w:t>
            </w:r>
          </w:p>
        </w:tc>
      </w:tr>
      <w:tr>
        <w:tc>
          <w:tcPr>
            <w:tcW w:type="dxa" w:w="1728"/>
            <w:vAlign w:val="center"/>
            <w:shd w:fill="EAF2F8"/>
          </w:tcPr>
          <w:p>
            <w:pPr>
              <w:spacing w:after="30"/>
            </w:pPr>
            <w:r>
              <w:rPr>
                <w:rFonts w:ascii="Arial" w:hAnsi="Arial" w:eastAsia="Arial"/>
                <w:b/>
                <w:color w:val="17324D"/>
                <w:sz w:val="18"/>
              </w:rPr>
              <w:t>Conclusion</w:t>
            </w:r>
          </w:p>
        </w:tc>
        <w:tc>
          <w:tcPr>
            <w:tcW w:type="dxa" w:w="8208"/>
            <w:vAlign w:val="center"/>
          </w:tcPr>
          <w:p>
            <w:pPr>
              <w:spacing w:after="30"/>
            </w:pPr>
            <w:r>
              <w:rPr>
                <w:rFonts w:ascii="Arial" w:hAnsi="Arial" w:eastAsia="Arial"/>
                <w:b w:val="0"/>
                <w:color w:val="23282D"/>
                <w:sz w:val="18"/>
              </w:rPr>
              <w:t>Why no single prompt creates the ecosystem</w:t>
            </w:r>
          </w:p>
        </w:tc>
      </w:tr>
    </w:tbl>
    <w:p>
      <w:r>
        <w:br w:type="page"/>
      </w:r>
    </w:p>
    <w:p>
      <w:pPr>
        <w:pStyle w:val="Heading1"/>
        <w:spacing w:before="320" w:after="40"/>
        <w:keepNext/>
      </w:pPr>
      <w:r>
        <w:rPr>
          <w:rFonts w:ascii="Arial" w:hAnsi="Arial" w:eastAsia="Arial"/>
          <w:b/>
          <w:color w:val="17324D"/>
          <w:sz w:val="34"/>
        </w:rPr>
        <w:t>Layer I — Application and operational data</w:t>
      </w:r>
    </w:p>
    <w:p>
      <w:pPr>
        <w:spacing w:after="160"/>
        <w:keepNext/>
      </w:pPr>
      <w:r>
        <w:rPr>
          <w:rFonts w:ascii="Arial" w:hAnsi="Arial" w:eastAsia="Arial"/>
          <w:i/>
          <w:color w:val="5C6874"/>
          <w:sz w:val="19"/>
        </w:rPr>
        <w:t>The visible Work Queue interface depends on structured records and relationships outside the app itself.</w:t>
      </w:r>
    </w:p>
    <w:p>
      <w:pPr>
        <w:pStyle w:val="Heading2"/>
        <w:keepNext/>
        <w:spacing w:before="200" w:after="80"/>
      </w:pPr>
      <w:r>
        <w:rPr>
          <w:rFonts w:ascii="Arial" w:hAnsi="Arial" w:eastAsia="Arial"/>
          <w:b/>
          <w:color w:val="E0A92F"/>
          <w:sz w:val="26"/>
        </w:rPr>
        <w:t xml:space="preserve">1. </w:t>
      </w:r>
      <w:r>
        <w:rPr>
          <w:rFonts w:ascii="Arial" w:hAnsi="Arial" w:eastAsia="Arial"/>
          <w:b/>
          <w:color w:val="17324D"/>
          <w:sz w:val="26"/>
        </w:rPr>
        <w:t>Work Queue application</w:t>
      </w:r>
    </w:p>
    <w:p>
      <w:pPr>
        <w:spacing w:after="100" w:line="259" w:lineRule="auto"/>
      </w:pPr>
      <w:r>
        <w:rPr>
          <w:rFonts w:ascii="Arial" w:hAnsi="Arial" w:eastAsia="Arial"/>
          <w:color w:val="23282D"/>
          <w:sz w:val="20"/>
        </w:rPr>
        <w:t>The Work Queue is the visible application where work is created, assigned, tracked, updated, and completed. Its AppSheet files and logic form the user-facing layer, but they do not contain the entire system.</w:t>
      </w:r>
    </w:p>
    <w:p>
      <w:pPr>
        <w:spacing w:after="80" w:line="254" w:lineRule="auto"/>
      </w:pPr>
      <w:r>
        <w:rPr>
          <w:rFonts w:ascii="Arial" w:hAnsi="Arial" w:eastAsia="Arial"/>
          <w:b/>
          <w:color w:val="265B87"/>
          <w:sz w:val="19"/>
        </w:rPr>
        <w:t xml:space="preserve">What it depends on: </w:t>
      </w:r>
      <w:r>
        <w:rPr>
          <w:rFonts w:ascii="Arial" w:hAnsi="Arial" w:eastAsia="Arial"/>
          <w:color w:val="23282D"/>
          <w:sz w:val="19"/>
        </w:rPr>
        <w:t>Connected sheets, stable field names, IDs, personnel records, locations, inventory relationships, permissions, hosted assets, and workflow rules.</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The screen is only the interface. The operational meaning of the app comes from the data structures and systems behind it.</w:t>
      </w:r>
    </w:p>
    <w:p>
      <w:pPr>
        <w:pStyle w:val="Heading2"/>
        <w:keepNext/>
        <w:spacing w:before="200" w:after="80"/>
      </w:pPr>
      <w:r>
        <w:rPr>
          <w:rFonts w:ascii="Arial" w:hAnsi="Arial" w:eastAsia="Arial"/>
          <w:b/>
          <w:color w:val="E0A92F"/>
          <w:sz w:val="26"/>
        </w:rPr>
        <w:t xml:space="preserve">2. </w:t>
      </w:r>
      <w:r>
        <w:rPr>
          <w:rFonts w:ascii="Arial" w:hAnsi="Arial" w:eastAsia="Arial"/>
          <w:b/>
          <w:color w:val="17324D"/>
          <w:sz w:val="26"/>
        </w:rPr>
        <w:t>Google Sheets data layer</w:t>
      </w:r>
    </w:p>
    <w:p>
      <w:pPr>
        <w:spacing w:after="100" w:line="259" w:lineRule="auto"/>
      </w:pPr>
      <w:r>
        <w:rPr>
          <w:rFonts w:ascii="Arial" w:hAnsi="Arial" w:eastAsia="Arial"/>
          <w:color w:val="23282D"/>
          <w:sz w:val="20"/>
        </w:rPr>
        <w:t>The application reads from and writes to connected Google Sheets. These sheets provide the structured records that allow the interface to operate as more than a static display.</w:t>
      </w:r>
    </w:p>
    <w:p>
      <w:pPr>
        <w:pStyle w:val="ListBullet"/>
        <w:spacing w:after="50" w:line="247" w:lineRule="auto"/>
        <w:ind w:left="403" w:hanging="202"/>
      </w:pPr>
      <w:r>
        <w:rPr>
          <w:rFonts w:ascii="Arial" w:hAnsi="Arial" w:eastAsia="Arial"/>
          <w:color w:val="23282D"/>
          <w:sz w:val="19"/>
        </w:rPr>
        <w:t>work items and task history;</w:t>
      </w:r>
    </w:p>
    <w:p>
      <w:pPr>
        <w:pStyle w:val="ListBullet"/>
        <w:spacing w:after="50" w:line="247" w:lineRule="auto"/>
        <w:ind w:left="403" w:hanging="202"/>
      </w:pPr>
      <w:r>
        <w:rPr>
          <w:rFonts w:ascii="Arial" w:hAnsi="Arial" w:eastAsia="Arial"/>
          <w:color w:val="23282D"/>
          <w:sz w:val="19"/>
        </w:rPr>
        <w:t>assignments and status changes;</w:t>
      </w:r>
    </w:p>
    <w:p>
      <w:pPr>
        <w:pStyle w:val="ListBullet"/>
        <w:spacing w:after="50" w:line="247" w:lineRule="auto"/>
        <w:ind w:left="403" w:hanging="202"/>
      </w:pPr>
      <w:r>
        <w:rPr>
          <w:rFonts w:ascii="Arial" w:hAnsi="Arial" w:eastAsia="Arial"/>
          <w:color w:val="23282D"/>
          <w:sz w:val="19"/>
        </w:rPr>
        <w:t>locations and operational areas;</w:t>
      </w:r>
    </w:p>
    <w:p>
      <w:pPr>
        <w:pStyle w:val="ListBullet"/>
        <w:spacing w:after="50" w:line="247" w:lineRule="auto"/>
        <w:ind w:left="403" w:hanging="202"/>
      </w:pPr>
      <w:r>
        <w:rPr>
          <w:rFonts w:ascii="Arial" w:hAnsi="Arial" w:eastAsia="Arial"/>
          <w:color w:val="23282D"/>
          <w:sz w:val="19"/>
        </w:rPr>
        <w:t>employee and role records;</w:t>
      </w:r>
    </w:p>
    <w:p>
      <w:pPr>
        <w:pStyle w:val="ListBullet"/>
        <w:spacing w:after="50" w:line="247" w:lineRule="auto"/>
        <w:ind w:left="403" w:hanging="202"/>
      </w:pPr>
      <w:r>
        <w:rPr>
          <w:rFonts w:ascii="Arial" w:hAnsi="Arial" w:eastAsia="Arial"/>
          <w:color w:val="23282D"/>
          <w:sz w:val="19"/>
        </w:rPr>
        <w:t>inventory holders and inventory events;</w:t>
      </w:r>
    </w:p>
    <w:p>
      <w:pPr>
        <w:pStyle w:val="ListBullet"/>
        <w:spacing w:after="50" w:line="247" w:lineRule="auto"/>
        <w:ind w:left="403" w:hanging="202"/>
      </w:pPr>
      <w:r>
        <w:rPr>
          <w:rFonts w:ascii="Arial" w:hAnsi="Arial" w:eastAsia="Arial"/>
          <w:color w:val="23282D"/>
          <w:sz w:val="19"/>
        </w:rPr>
        <w:t>SDS and product-information records;</w:t>
      </w:r>
    </w:p>
    <w:p>
      <w:pPr>
        <w:pStyle w:val="ListBullet"/>
        <w:spacing w:after="50" w:line="247" w:lineRule="auto"/>
        <w:ind w:left="403" w:hanging="202"/>
      </w:pPr>
      <w:r>
        <w:rPr>
          <w:rFonts w:ascii="Arial" w:hAnsi="Arial" w:eastAsia="Arial"/>
          <w:color w:val="23282D"/>
          <w:sz w:val="19"/>
        </w:rPr>
        <w:t>lookup tables, configuration values, and relationships used by the app.</w:t>
      </w:r>
    </w:p>
    <w:p>
      <w:pPr>
        <w:spacing w:after="80" w:line="254" w:lineRule="auto"/>
      </w:pPr>
      <w:r>
        <w:rPr>
          <w:rFonts w:ascii="Arial" w:hAnsi="Arial" w:eastAsia="Arial"/>
          <w:b/>
          <w:color w:val="265B87"/>
          <w:sz w:val="19"/>
        </w:rPr>
        <w:t xml:space="preserve">What holds it together: </w:t>
      </w:r>
      <w:r>
        <w:rPr>
          <w:rFonts w:ascii="Arial" w:hAnsi="Arial" w:eastAsia="Arial"/>
          <w:color w:val="23282D"/>
          <w:sz w:val="19"/>
        </w:rPr>
        <w:t>Column names, IDs, validation rules, lookup values, and relationships must remain compatible with the application logic. A sheet change can break the app even when the interface code has not changed.</w:t>
      </w:r>
    </w:p>
    <w:p>
      <w:pPr>
        <w:pStyle w:val="Heading2"/>
        <w:keepNext/>
        <w:spacing w:before="200" w:after="80"/>
      </w:pPr>
      <w:r>
        <w:rPr>
          <w:rFonts w:ascii="Arial" w:hAnsi="Arial" w:eastAsia="Arial"/>
          <w:b/>
          <w:color w:val="E0A92F"/>
          <w:sz w:val="26"/>
        </w:rPr>
        <w:t xml:space="preserve">3. </w:t>
      </w:r>
      <w:r>
        <w:rPr>
          <w:rFonts w:ascii="Arial" w:hAnsi="Arial" w:eastAsia="Arial"/>
          <w:b/>
          <w:color w:val="17324D"/>
          <w:sz w:val="26"/>
        </w:rPr>
        <w:t>Employees sheet and personnel dimension</w:t>
      </w:r>
    </w:p>
    <w:p>
      <w:pPr>
        <w:spacing w:after="100" w:line="259" w:lineRule="auto"/>
      </w:pPr>
      <w:r>
        <w:rPr>
          <w:rFonts w:ascii="Arial" w:hAnsi="Arial" w:eastAsia="Arial"/>
          <w:color w:val="23282D"/>
          <w:sz w:val="20"/>
        </w:rPr>
        <w:t>The Employees sheet adds a personnel dimension to the growing data trove. It makes work records identifiable by person rather than existing only as anonymous tasks.</w:t>
      </w:r>
    </w:p>
    <w:p>
      <w:pPr>
        <w:pStyle w:val="ListBullet"/>
        <w:spacing w:after="50" w:line="247" w:lineRule="auto"/>
        <w:ind w:left="403" w:hanging="202"/>
      </w:pPr>
      <w:r>
        <w:rPr>
          <w:rFonts w:ascii="Arial" w:hAnsi="Arial" w:eastAsia="Arial"/>
          <w:color w:val="23282D"/>
          <w:sz w:val="19"/>
        </w:rPr>
        <w:t>who owns a task;</w:t>
      </w:r>
    </w:p>
    <w:p>
      <w:pPr>
        <w:pStyle w:val="ListBullet"/>
        <w:spacing w:after="50" w:line="247" w:lineRule="auto"/>
        <w:ind w:left="403" w:hanging="202"/>
      </w:pPr>
      <w:r>
        <w:rPr>
          <w:rFonts w:ascii="Arial" w:hAnsi="Arial" w:eastAsia="Arial"/>
          <w:color w:val="23282D"/>
          <w:sz w:val="19"/>
        </w:rPr>
        <w:t>who is assigned to perform it;</w:t>
      </w:r>
    </w:p>
    <w:p>
      <w:pPr>
        <w:pStyle w:val="ListBullet"/>
        <w:spacing w:after="50" w:line="247" w:lineRule="auto"/>
        <w:ind w:left="403" w:hanging="202"/>
      </w:pPr>
      <w:r>
        <w:rPr>
          <w:rFonts w:ascii="Arial" w:hAnsi="Arial" w:eastAsia="Arial"/>
          <w:color w:val="23282D"/>
          <w:sz w:val="19"/>
        </w:rPr>
        <w:t>who completed or updated the work;</w:t>
      </w:r>
    </w:p>
    <w:p>
      <w:pPr>
        <w:pStyle w:val="ListBullet"/>
        <w:spacing w:after="50" w:line="247" w:lineRule="auto"/>
        <w:ind w:left="403" w:hanging="202"/>
      </w:pPr>
      <w:r>
        <w:rPr>
          <w:rFonts w:ascii="Arial" w:hAnsi="Arial" w:eastAsia="Arial"/>
          <w:color w:val="23282D"/>
          <w:sz w:val="19"/>
        </w:rPr>
        <w:t>who may receive a notification or email;</w:t>
      </w:r>
    </w:p>
    <w:p>
      <w:pPr>
        <w:pStyle w:val="ListBullet"/>
        <w:spacing w:after="50" w:line="247" w:lineRule="auto"/>
        <w:ind w:left="403" w:hanging="202"/>
      </w:pPr>
      <w:r>
        <w:rPr>
          <w:rFonts w:ascii="Arial" w:hAnsi="Arial" w:eastAsia="Arial"/>
          <w:color w:val="23282D"/>
          <w:sz w:val="19"/>
        </w:rPr>
        <w:t>which person is associated with a unit, location, or operational role;</w:t>
      </w:r>
    </w:p>
    <w:p>
      <w:pPr>
        <w:pStyle w:val="ListBullet"/>
        <w:spacing w:after="50" w:line="247" w:lineRule="auto"/>
        <w:ind w:left="403" w:hanging="202"/>
      </w:pPr>
      <w:r>
        <w:rPr>
          <w:rFonts w:ascii="Arial" w:hAnsi="Arial" w:eastAsia="Arial"/>
          <w:color w:val="23282D"/>
          <w:sz w:val="19"/>
        </w:rPr>
        <w:t>how work can later be grouped, filtered, or analyzed by employee.</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Without a stable personnel model, Work Queue could record tasks but could not reliably connect the work to responsibility, communication, or organizational history.</w:t>
      </w:r>
    </w:p>
    <w:p>
      <w:pPr>
        <w:pStyle w:val="Heading2"/>
        <w:keepNext/>
        <w:spacing w:before="200" w:after="80"/>
      </w:pPr>
      <w:r>
        <w:rPr>
          <w:rFonts w:ascii="Arial" w:hAnsi="Arial" w:eastAsia="Arial"/>
          <w:b/>
          <w:color w:val="E0A92F"/>
          <w:sz w:val="26"/>
        </w:rPr>
        <w:t xml:space="preserve">4. </w:t>
      </w:r>
      <w:r>
        <w:rPr>
          <w:rFonts w:ascii="Arial" w:hAnsi="Arial" w:eastAsia="Arial"/>
          <w:b/>
          <w:color w:val="17324D"/>
          <w:sz w:val="26"/>
        </w:rPr>
        <w:t>Inventory relationships</w:t>
      </w:r>
    </w:p>
    <w:p>
      <w:pPr>
        <w:spacing w:after="100" w:line="259" w:lineRule="auto"/>
      </w:pPr>
      <w:r>
        <w:rPr>
          <w:rFonts w:ascii="Arial" w:hAnsi="Arial" w:eastAsia="Arial"/>
          <w:color w:val="23282D"/>
          <w:sz w:val="20"/>
        </w:rPr>
        <w:t>Work Queue does not operate in isolation from inventory. Tasks can represent actions involving supplies, inventory holders, locations, dispensers, and quantity-changing events.</w:t>
      </w:r>
    </w:p>
    <w:p>
      <w:pPr>
        <w:spacing w:after="80" w:line="254" w:lineRule="auto"/>
      </w:pPr>
      <w:r>
        <w:rPr>
          <w:rFonts w:ascii="Arial" w:hAnsi="Arial" w:eastAsia="Arial"/>
          <w:b/>
          <w:color w:val="265B87"/>
          <w:sz w:val="19"/>
        </w:rPr>
        <w:t xml:space="preserve">Operational connection: </w:t>
      </w:r>
      <w:r>
        <w:rPr>
          <w:rFonts w:ascii="Arial" w:hAnsi="Arial" w:eastAsia="Arial"/>
          <w:color w:val="23282D"/>
          <w:sz w:val="19"/>
        </w:rPr>
        <w:t>A completed task may need to create or support an inventory event, associate that event with an exact location or holder, and eventually update the relevant supply source.</w:t>
      </w:r>
    </w:p>
    <w:p>
      <w:pPr>
        <w:spacing w:after="80" w:line="254" w:lineRule="auto"/>
      </w:pPr>
      <w:r>
        <w:rPr>
          <w:rFonts w:ascii="Arial" w:hAnsi="Arial" w:eastAsia="Arial"/>
          <w:b/>
          <w:color w:val="265B87"/>
          <w:sz w:val="19"/>
        </w:rPr>
        <w:t xml:space="preserve">Integration burden: </w:t>
      </w:r>
      <w:r>
        <w:rPr>
          <w:rFonts w:ascii="Arial" w:hAnsi="Arial" w:eastAsia="Arial"/>
          <w:color w:val="23282D"/>
          <w:sz w:val="19"/>
        </w:rPr>
        <w:t>The task system, inventory system, locations, holder capacities, product identities, and event rules must agree on the same IDs and meanings.</w:t>
      </w:r>
    </w:p>
    <w:p>
      <w:pPr>
        <w:pStyle w:val="Heading1"/>
        <w:spacing w:before="320" w:after="40"/>
        <w:keepNext/>
      </w:pPr>
      <w:r>
        <w:rPr>
          <w:rFonts w:ascii="Arial" w:hAnsi="Arial" w:eastAsia="Arial"/>
          <w:b/>
          <w:color w:val="17324D"/>
          <w:sz w:val="34"/>
        </w:rPr>
        <w:t>Layer II — Safety information, knowledge, and documentation</w:t>
      </w:r>
    </w:p>
    <w:p>
      <w:pPr>
        <w:spacing w:after="160"/>
        <w:keepNext/>
      </w:pPr>
      <w:r>
        <w:rPr>
          <w:rFonts w:ascii="Arial" w:hAnsi="Arial" w:eastAsia="Arial"/>
          <w:i/>
          <w:color w:val="5C6874"/>
          <w:sz w:val="19"/>
        </w:rPr>
        <w:t>The ecosystem includes governed information, not merely application screens and data tables.</w:t>
      </w:r>
    </w:p>
    <w:p>
      <w:pPr>
        <w:pStyle w:val="Heading2"/>
        <w:keepNext/>
        <w:spacing w:before="200" w:after="80"/>
      </w:pPr>
      <w:r>
        <w:rPr>
          <w:rFonts w:ascii="Arial" w:hAnsi="Arial" w:eastAsia="Arial"/>
          <w:b/>
          <w:color w:val="E0A92F"/>
          <w:sz w:val="26"/>
        </w:rPr>
        <w:t xml:space="preserve">5. </w:t>
      </w:r>
      <w:r>
        <w:rPr>
          <w:rFonts w:ascii="Arial" w:hAnsi="Arial" w:eastAsia="Arial"/>
          <w:b/>
          <w:color w:val="17324D"/>
          <w:sz w:val="26"/>
        </w:rPr>
        <w:t>SDS consolidated information</w:t>
      </w:r>
    </w:p>
    <w:p>
      <w:pPr>
        <w:spacing w:after="100" w:line="259" w:lineRule="auto"/>
      </w:pPr>
      <w:r>
        <w:rPr>
          <w:rFonts w:ascii="Arial" w:hAnsi="Arial" w:eastAsia="Arial"/>
          <w:color w:val="23282D"/>
          <w:sz w:val="20"/>
        </w:rPr>
        <w:t>The SDS environment consolidates chemical-product and safety information and integrates it with the wider tool suite. It is not merely a folder of PDF files.</w:t>
      </w:r>
    </w:p>
    <w:p>
      <w:pPr>
        <w:pStyle w:val="ListBullet"/>
        <w:spacing w:after="50" w:line="247" w:lineRule="auto"/>
        <w:ind w:left="403" w:hanging="202"/>
      </w:pPr>
      <w:r>
        <w:rPr>
          <w:rFonts w:ascii="Arial" w:hAnsi="Arial" w:eastAsia="Arial"/>
          <w:color w:val="23282D"/>
          <w:sz w:val="19"/>
        </w:rPr>
        <w:t>product identity and exact product form;</w:t>
      </w:r>
    </w:p>
    <w:p>
      <w:pPr>
        <w:pStyle w:val="ListBullet"/>
        <w:spacing w:after="50" w:line="247" w:lineRule="auto"/>
        <w:ind w:left="403" w:hanging="202"/>
      </w:pPr>
      <w:r>
        <w:rPr>
          <w:rFonts w:ascii="Arial" w:hAnsi="Arial" w:eastAsia="Arial"/>
          <w:color w:val="23282D"/>
          <w:sz w:val="19"/>
        </w:rPr>
        <w:t>manufacturer information;</w:t>
      </w:r>
    </w:p>
    <w:p>
      <w:pPr>
        <w:pStyle w:val="ListBullet"/>
        <w:spacing w:after="50" w:line="247" w:lineRule="auto"/>
        <w:ind w:left="403" w:hanging="202"/>
      </w:pPr>
      <w:r>
        <w:rPr>
          <w:rFonts w:ascii="Arial" w:hAnsi="Arial" w:eastAsia="Arial"/>
          <w:color w:val="23282D"/>
          <w:sz w:val="19"/>
        </w:rPr>
        <w:t>current SDS records and official document links;</w:t>
      </w:r>
    </w:p>
    <w:p>
      <w:pPr>
        <w:pStyle w:val="ListBullet"/>
        <w:spacing w:after="50" w:line="247" w:lineRule="auto"/>
        <w:ind w:left="403" w:hanging="202"/>
      </w:pPr>
      <w:r>
        <w:rPr>
          <w:rFonts w:ascii="Arial" w:hAnsi="Arial" w:eastAsia="Arial"/>
          <w:color w:val="23282D"/>
          <w:sz w:val="19"/>
        </w:rPr>
        <w:t>distinctions among concentrate, diluted, and ready-to-use forms when official records distinguish them;</w:t>
      </w:r>
    </w:p>
    <w:p>
      <w:pPr>
        <w:pStyle w:val="ListBullet"/>
        <w:spacing w:after="50" w:line="247" w:lineRule="auto"/>
        <w:ind w:left="403" w:hanging="202"/>
      </w:pPr>
      <w:r>
        <w:rPr>
          <w:rFonts w:ascii="Arial" w:hAnsi="Arial" w:eastAsia="Arial"/>
          <w:color w:val="23282D"/>
          <w:sz w:val="19"/>
        </w:rPr>
        <w:t>source-quality rules and manufacturer-owned source requirements;</w:t>
      </w:r>
    </w:p>
    <w:p>
      <w:pPr>
        <w:pStyle w:val="ListBullet"/>
        <w:spacing w:after="50" w:line="247" w:lineRule="auto"/>
        <w:ind w:left="403" w:hanging="202"/>
      </w:pPr>
      <w:r>
        <w:rPr>
          <w:rFonts w:ascii="Arial" w:hAnsi="Arial" w:eastAsia="Arial"/>
          <w:color w:val="23282D"/>
          <w:sz w:val="19"/>
        </w:rPr>
        <w:t>rules for current, obsolete, incomplete, or conflicting records;</w:t>
      </w:r>
    </w:p>
    <w:p>
      <w:pPr>
        <w:pStyle w:val="ListBullet"/>
        <w:spacing w:after="50" w:line="247" w:lineRule="auto"/>
        <w:ind w:left="403" w:hanging="202"/>
      </w:pPr>
      <w:r>
        <w:rPr>
          <w:rFonts w:ascii="Arial" w:hAnsi="Arial" w:eastAsia="Arial"/>
          <w:color w:val="23282D"/>
          <w:sz w:val="19"/>
        </w:rPr>
        <w:t>structured fields used by product, inventory, and safety views.</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The value comes from governance: knowing which source is authoritative, which product form is represented, and how safety information relates to inventory and operational use.</w:t>
      </w:r>
    </w:p>
    <w:p>
      <w:pPr>
        <w:pStyle w:val="Heading2"/>
        <w:keepNext/>
        <w:spacing w:before="200" w:after="80"/>
      </w:pPr>
      <w:r>
        <w:rPr>
          <w:rFonts w:ascii="Arial" w:hAnsi="Arial" w:eastAsia="Arial"/>
          <w:b/>
          <w:color w:val="E0A92F"/>
          <w:sz w:val="26"/>
        </w:rPr>
        <w:t xml:space="preserve">6. </w:t>
      </w:r>
      <w:r>
        <w:rPr>
          <w:rFonts w:ascii="Arial" w:hAnsi="Arial" w:eastAsia="Arial"/>
          <w:b/>
          <w:color w:val="17324D"/>
          <w:sz w:val="26"/>
        </w:rPr>
        <w:t>JSON workflows, schemas, and rulesets</w:t>
      </w:r>
    </w:p>
    <w:p>
      <w:pPr>
        <w:spacing w:after="100" w:line="259" w:lineRule="auto"/>
      </w:pPr>
      <w:r>
        <w:rPr>
          <w:rFonts w:ascii="Arial" w:hAnsi="Arial" w:eastAsia="Arial"/>
          <w:color w:val="23282D"/>
          <w:sz w:val="20"/>
        </w:rPr>
        <w:t>Many of the workflows that make the environment possible are defined in JSON documents and schemas stored in the repository. These files preserve operating logic that would otherwise disappear inside a conversation.</w:t>
      </w:r>
    </w:p>
    <w:p>
      <w:pPr>
        <w:pStyle w:val="ListBullet"/>
        <w:spacing w:after="50" w:line="247" w:lineRule="auto"/>
        <w:ind w:left="403" w:hanging="202"/>
      </w:pPr>
      <w:r>
        <w:rPr>
          <w:rFonts w:ascii="Arial" w:hAnsi="Arial" w:eastAsia="Arial"/>
          <w:color w:val="23282D"/>
          <w:sz w:val="19"/>
        </w:rPr>
        <w:t>how work is documented;</w:t>
      </w:r>
    </w:p>
    <w:p>
      <w:pPr>
        <w:pStyle w:val="ListBullet"/>
        <w:spacing w:after="50" w:line="247" w:lineRule="auto"/>
        <w:ind w:left="403" w:hanging="202"/>
      </w:pPr>
      <w:r>
        <w:rPr>
          <w:rFonts w:ascii="Arial" w:hAnsi="Arial" w:eastAsia="Arial"/>
          <w:color w:val="23282D"/>
          <w:sz w:val="19"/>
        </w:rPr>
        <w:t>how catalog entries and metadata are structured;</w:t>
      </w:r>
    </w:p>
    <w:p>
      <w:pPr>
        <w:pStyle w:val="ListBullet"/>
        <w:spacing w:after="50" w:line="247" w:lineRule="auto"/>
        <w:ind w:left="403" w:hanging="202"/>
      </w:pPr>
      <w:r>
        <w:rPr>
          <w:rFonts w:ascii="Arial" w:hAnsi="Arial" w:eastAsia="Arial"/>
          <w:color w:val="23282D"/>
          <w:sz w:val="19"/>
        </w:rPr>
        <w:t>how completed changes are recorded;</w:t>
      </w:r>
    </w:p>
    <w:p>
      <w:pPr>
        <w:pStyle w:val="ListBullet"/>
        <w:spacing w:after="50" w:line="247" w:lineRule="auto"/>
        <w:ind w:left="403" w:hanging="202"/>
      </w:pPr>
      <w:r>
        <w:rPr>
          <w:rFonts w:ascii="Arial" w:hAnsi="Arial" w:eastAsia="Arial"/>
          <w:color w:val="23282D"/>
          <w:sz w:val="19"/>
        </w:rPr>
        <w:t>which fields are required and what values are permitted;</w:t>
      </w:r>
    </w:p>
    <w:p>
      <w:pPr>
        <w:pStyle w:val="ListBullet"/>
        <w:spacing w:after="50" w:line="247" w:lineRule="auto"/>
        <w:ind w:left="403" w:hanging="202"/>
      </w:pPr>
      <w:r>
        <w:rPr>
          <w:rFonts w:ascii="Arial" w:hAnsi="Arial" w:eastAsia="Arial"/>
          <w:color w:val="23282D"/>
          <w:sz w:val="19"/>
        </w:rPr>
        <w:t>how files, records, and systems relate to one another;</w:t>
      </w:r>
    </w:p>
    <w:p>
      <w:pPr>
        <w:pStyle w:val="ListBullet"/>
        <w:spacing w:after="50" w:line="247" w:lineRule="auto"/>
        <w:ind w:left="403" w:hanging="202"/>
      </w:pPr>
      <w:r>
        <w:rPr>
          <w:rFonts w:ascii="Arial" w:hAnsi="Arial" w:eastAsia="Arial"/>
          <w:color w:val="23282D"/>
          <w:sz w:val="19"/>
        </w:rPr>
        <w:t>what sequence of actions makes a workflow repeatable;</w:t>
      </w:r>
    </w:p>
    <w:p>
      <w:pPr>
        <w:pStyle w:val="ListBullet"/>
        <w:spacing w:after="50" w:line="247" w:lineRule="auto"/>
        <w:ind w:left="403" w:hanging="202"/>
      </w:pPr>
      <w:r>
        <w:rPr>
          <w:rFonts w:ascii="Arial" w:hAnsi="Arial" w:eastAsia="Arial"/>
          <w:color w:val="23282D"/>
          <w:sz w:val="19"/>
        </w:rPr>
        <w:t>what constitutes a valid output or completed step.</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The schemas turn informal habits into explicit procedures. They make later recovery, checking, and continuation possible even when conversational context is weak.</w:t>
      </w:r>
    </w:p>
    <w:p>
      <w:pPr>
        <w:pStyle w:val="Heading2"/>
        <w:keepNext/>
        <w:spacing w:before="200" w:after="80"/>
      </w:pPr>
      <w:r>
        <w:rPr>
          <w:rFonts w:ascii="Arial" w:hAnsi="Arial" w:eastAsia="Arial"/>
          <w:b/>
          <w:color w:val="E0A92F"/>
          <w:sz w:val="26"/>
        </w:rPr>
        <w:t xml:space="preserve">7. </w:t>
      </w:r>
      <w:r>
        <w:rPr>
          <w:rFonts w:ascii="Arial" w:hAnsi="Arial" w:eastAsia="Arial"/>
          <w:b/>
          <w:color w:val="17324D"/>
          <w:sz w:val="26"/>
        </w:rPr>
        <w:t>Documentation project</w:t>
      </w:r>
    </w:p>
    <w:p>
      <w:pPr>
        <w:spacing w:after="100" w:line="259" w:lineRule="auto"/>
      </w:pPr>
      <w:r>
        <w:rPr>
          <w:rFonts w:ascii="Arial" w:hAnsi="Arial" w:eastAsia="Arial"/>
          <w:color w:val="23282D"/>
          <w:sz w:val="20"/>
        </w:rPr>
        <w:t>Documentation is its own project, with an architecture and workflow separate from the applications it describes.</w:t>
      </w:r>
    </w:p>
    <w:p>
      <w:pPr>
        <w:pStyle w:val="ListBullet"/>
        <w:spacing w:after="50" w:line="247" w:lineRule="auto"/>
        <w:ind w:left="403" w:hanging="202"/>
      </w:pPr>
      <w:r>
        <w:rPr>
          <w:rFonts w:ascii="Arial" w:hAnsi="Arial" w:eastAsia="Arial"/>
          <w:color w:val="23282D"/>
          <w:sz w:val="19"/>
        </w:rPr>
        <w:t>published documentation pages;</w:t>
      </w:r>
    </w:p>
    <w:p>
      <w:pPr>
        <w:pStyle w:val="ListBullet"/>
        <w:spacing w:after="50" w:line="247" w:lineRule="auto"/>
        <w:ind w:left="403" w:hanging="202"/>
      </w:pPr>
      <w:r>
        <w:rPr>
          <w:rFonts w:ascii="Arial" w:hAnsi="Arial" w:eastAsia="Arial"/>
          <w:color w:val="23282D"/>
          <w:sz w:val="19"/>
        </w:rPr>
        <w:t>work-update source files;</w:t>
      </w:r>
    </w:p>
    <w:p>
      <w:pPr>
        <w:pStyle w:val="ListBullet"/>
        <w:spacing w:after="50" w:line="247" w:lineRule="auto"/>
        <w:ind w:left="403" w:hanging="202"/>
      </w:pPr>
      <w:r>
        <w:rPr>
          <w:rFonts w:ascii="Arial" w:hAnsi="Arial" w:eastAsia="Arial"/>
          <w:color w:val="23282D"/>
          <w:sz w:val="19"/>
        </w:rPr>
        <w:t>document sidecars and metadata;</w:t>
      </w:r>
    </w:p>
    <w:p>
      <w:pPr>
        <w:pStyle w:val="ListBullet"/>
        <w:spacing w:after="50" w:line="247" w:lineRule="auto"/>
        <w:ind w:left="403" w:hanging="202"/>
      </w:pPr>
      <w:r>
        <w:rPr>
          <w:rFonts w:ascii="Arial" w:hAnsi="Arial" w:eastAsia="Arial"/>
          <w:color w:val="23282D"/>
          <w:sz w:val="19"/>
        </w:rPr>
        <w:t>summaries and catalogs;</w:t>
      </w:r>
    </w:p>
    <w:p>
      <w:pPr>
        <w:pStyle w:val="ListBullet"/>
        <w:spacing w:after="50" w:line="247" w:lineRule="auto"/>
        <w:ind w:left="403" w:hanging="202"/>
      </w:pPr>
      <w:r>
        <w:rPr>
          <w:rFonts w:ascii="Arial" w:hAnsi="Arial" w:eastAsia="Arial"/>
          <w:color w:val="23282D"/>
          <w:sz w:val="19"/>
        </w:rPr>
        <w:t>templates and naming conventions;</w:t>
      </w:r>
    </w:p>
    <w:p>
      <w:pPr>
        <w:pStyle w:val="ListBullet"/>
        <w:spacing w:after="50" w:line="247" w:lineRule="auto"/>
        <w:ind w:left="403" w:hanging="202"/>
      </w:pPr>
      <w:r>
        <w:rPr>
          <w:rFonts w:ascii="Arial" w:hAnsi="Arial" w:eastAsia="Arial"/>
          <w:color w:val="23282D"/>
          <w:sz w:val="19"/>
        </w:rPr>
        <w:t>rulesets and workflow definitions;</w:t>
      </w:r>
    </w:p>
    <w:p>
      <w:pPr>
        <w:pStyle w:val="ListBullet"/>
        <w:spacing w:after="50" w:line="247" w:lineRule="auto"/>
        <w:ind w:left="403" w:hanging="202"/>
      </w:pPr>
      <w:r>
        <w:rPr>
          <w:rFonts w:ascii="Arial" w:hAnsi="Arial" w:eastAsia="Arial"/>
          <w:color w:val="23282D"/>
          <w:sz w:val="19"/>
        </w:rPr>
        <w:t>publication procedures, repository paths, and validation steps.</w:t>
      </w:r>
    </w:p>
    <w:p>
      <w:pPr>
        <w:spacing w:after="80" w:line="254" w:lineRule="auto"/>
      </w:pPr>
      <w:r>
        <w:rPr>
          <w:rFonts w:ascii="Arial" w:hAnsi="Arial" w:eastAsia="Arial"/>
          <w:b/>
          <w:color w:val="265B87"/>
          <w:sz w:val="19"/>
        </w:rPr>
        <w:t xml:space="preserve">Operational role: </w:t>
      </w:r>
      <w:r>
        <w:rPr>
          <w:rFonts w:ascii="Arial" w:hAnsi="Arial" w:eastAsia="Arial"/>
          <w:color w:val="23282D"/>
          <w:sz w:val="19"/>
        </w:rPr>
        <w:t>The documentation does not only explain the software. It preserves the decisions and development logic required to understand, troubleshoot, and continue the system.</w:t>
      </w:r>
    </w:p>
    <w:p>
      <w:pPr>
        <w:pStyle w:val="Heading2"/>
        <w:keepNext/>
        <w:spacing w:before="200" w:after="80"/>
      </w:pPr>
      <w:r>
        <w:rPr>
          <w:rFonts w:ascii="Arial" w:hAnsi="Arial" w:eastAsia="Arial"/>
          <w:b/>
          <w:color w:val="E0A92F"/>
          <w:sz w:val="26"/>
        </w:rPr>
        <w:t xml:space="preserve">8. </w:t>
      </w:r>
      <w:r>
        <w:rPr>
          <w:rFonts w:ascii="Arial" w:hAnsi="Arial" w:eastAsia="Arial"/>
          <w:b/>
          <w:color w:val="17324D"/>
          <w:sz w:val="26"/>
        </w:rPr>
        <w:t>Work-update production process</w:t>
      </w:r>
    </w:p>
    <w:p>
      <w:pPr>
        <w:spacing w:after="100" w:line="259" w:lineRule="auto"/>
      </w:pPr>
      <w:r>
        <w:rPr>
          <w:rFonts w:ascii="Arial" w:hAnsi="Arial" w:eastAsia="Arial"/>
          <w:color w:val="23282D"/>
          <w:sz w:val="20"/>
        </w:rPr>
        <w:t>A work update represents another substantial workflow. Each update may represent roughly twelve hours of work advancing the housekeeping tools, followed by additional effort to make the work understandable and publishable.</w:t>
      </w:r>
    </w:p>
    <w:p>
      <w:pPr>
        <w:pStyle w:val="ListBullet"/>
        <w:spacing w:after="50" w:line="247" w:lineRule="auto"/>
        <w:ind w:left="403" w:hanging="202"/>
      </w:pPr>
      <w:r>
        <w:rPr>
          <w:rFonts w:ascii="Arial" w:hAnsi="Arial" w:eastAsia="Arial"/>
          <w:color w:val="23282D"/>
          <w:sz w:val="19"/>
        </w:rPr>
        <w:t>reviewing the work performed;</w:t>
      </w:r>
    </w:p>
    <w:p>
      <w:pPr>
        <w:pStyle w:val="ListBullet"/>
        <w:spacing w:after="50" w:line="247" w:lineRule="auto"/>
        <w:ind w:left="403" w:hanging="202"/>
      </w:pPr>
      <w:r>
        <w:rPr>
          <w:rFonts w:ascii="Arial" w:hAnsi="Arial" w:eastAsia="Arial"/>
          <w:color w:val="23282D"/>
          <w:sz w:val="19"/>
        </w:rPr>
        <w:t>identifying the significant changes;</w:t>
      </w:r>
    </w:p>
    <w:p>
      <w:pPr>
        <w:pStyle w:val="ListBullet"/>
        <w:spacing w:after="50" w:line="247" w:lineRule="auto"/>
        <w:ind w:left="403" w:hanging="202"/>
      </w:pPr>
      <w:r>
        <w:rPr>
          <w:rFonts w:ascii="Arial" w:hAnsi="Arial" w:eastAsia="Arial"/>
          <w:color w:val="23282D"/>
          <w:sz w:val="19"/>
        </w:rPr>
        <w:t>reconstructing the development sequence;</w:t>
      </w:r>
    </w:p>
    <w:p>
      <w:pPr>
        <w:pStyle w:val="ListBullet"/>
        <w:spacing w:after="50" w:line="247" w:lineRule="auto"/>
        <w:ind w:left="403" w:hanging="202"/>
      </w:pPr>
      <w:r>
        <w:rPr>
          <w:rFonts w:ascii="Arial" w:hAnsi="Arial" w:eastAsia="Arial"/>
          <w:color w:val="23282D"/>
          <w:sz w:val="19"/>
        </w:rPr>
        <w:t>writing and formatting the documentation;</w:t>
      </w:r>
    </w:p>
    <w:p>
      <w:pPr>
        <w:pStyle w:val="ListBullet"/>
        <w:spacing w:after="50" w:line="247" w:lineRule="auto"/>
        <w:ind w:left="403" w:hanging="202"/>
      </w:pPr>
      <w:r>
        <w:rPr>
          <w:rFonts w:ascii="Arial" w:hAnsi="Arial" w:eastAsia="Arial"/>
          <w:color w:val="23282D"/>
          <w:sz w:val="19"/>
        </w:rPr>
        <w:t>creating or editing supporting images;</w:t>
      </w:r>
    </w:p>
    <w:p>
      <w:pPr>
        <w:pStyle w:val="ListBullet"/>
        <w:spacing w:after="50" w:line="247" w:lineRule="auto"/>
        <w:ind w:left="403" w:hanging="202"/>
      </w:pPr>
      <w:r>
        <w:rPr>
          <w:rFonts w:ascii="Arial" w:hAnsi="Arial" w:eastAsia="Arial"/>
          <w:color w:val="23282D"/>
          <w:sz w:val="19"/>
        </w:rPr>
        <w:t>preparing metadata and updating catalogs;</w:t>
      </w:r>
    </w:p>
    <w:p>
      <w:pPr>
        <w:pStyle w:val="ListBullet"/>
        <w:spacing w:after="50" w:line="247" w:lineRule="auto"/>
        <w:ind w:left="403" w:hanging="202"/>
      </w:pPr>
      <w:r>
        <w:rPr>
          <w:rFonts w:ascii="Arial" w:hAnsi="Arial" w:eastAsia="Arial"/>
          <w:color w:val="23282D"/>
          <w:sz w:val="19"/>
        </w:rPr>
        <w:t>publishing the page and checking links;</w:t>
      </w:r>
    </w:p>
    <w:p>
      <w:pPr>
        <w:pStyle w:val="ListBullet"/>
        <w:spacing w:after="50" w:line="247" w:lineRule="auto"/>
        <w:ind w:left="403" w:hanging="202"/>
      </w:pPr>
      <w:r>
        <w:rPr>
          <w:rFonts w:ascii="Arial" w:hAnsi="Arial" w:eastAsia="Arial"/>
          <w:color w:val="23282D"/>
          <w:sz w:val="19"/>
        </w:rPr>
        <w:t>composing and sending the related email.</w:t>
      </w:r>
    </w:p>
    <w:p>
      <w:pPr>
        <w:pStyle w:val="Heading1"/>
        <w:spacing w:before="320" w:after="40"/>
        <w:keepNext/>
      </w:pPr>
      <w:r>
        <w:rPr>
          <w:rFonts w:ascii="Arial" w:hAnsi="Arial" w:eastAsia="Arial"/>
          <w:b/>
          <w:color w:val="17324D"/>
          <w:sz w:val="34"/>
        </w:rPr>
        <w:t>Layer III — Hosting, files, development, and integration</w:t>
      </w:r>
    </w:p>
    <w:p>
      <w:pPr>
        <w:spacing w:after="160"/>
        <w:keepNext/>
      </w:pPr>
      <w:r>
        <w:rPr>
          <w:rFonts w:ascii="Arial" w:hAnsi="Arial" w:eastAsia="Arial"/>
          <w:i/>
          <w:color w:val="5C6874"/>
          <w:sz w:val="19"/>
        </w:rPr>
        <w:t>The ecosystem spans several platforms. The difficult work is preserving coherence across them.</w:t>
      </w:r>
    </w:p>
    <w:p>
      <w:pPr>
        <w:pStyle w:val="Heading2"/>
        <w:keepNext/>
        <w:spacing w:before="200" w:after="80"/>
      </w:pPr>
      <w:r>
        <w:rPr>
          <w:rFonts w:ascii="Arial" w:hAnsi="Arial" w:eastAsia="Arial"/>
          <w:b/>
          <w:color w:val="E0A92F"/>
          <w:sz w:val="26"/>
        </w:rPr>
        <w:t xml:space="preserve">9. </w:t>
      </w:r>
      <w:r>
        <w:rPr>
          <w:rFonts w:ascii="Arial" w:hAnsi="Arial" w:eastAsia="Arial"/>
          <w:b/>
          <w:color w:val="17324D"/>
          <w:sz w:val="26"/>
        </w:rPr>
        <w:t>GitHub repository</w:t>
      </w:r>
    </w:p>
    <w:p>
      <w:pPr>
        <w:spacing w:after="100" w:line="259" w:lineRule="auto"/>
      </w:pPr>
      <w:r>
        <w:rPr>
          <w:rFonts w:ascii="Arial" w:hAnsi="Arial" w:eastAsia="Arial"/>
          <w:color w:val="23282D"/>
          <w:sz w:val="20"/>
        </w:rPr>
        <w:t>The GitHub repository is the durable file and version layer for the environment. It stores the definitions, assets, documentation, and development artifacts that must persist outside any single chat or editing session.</w:t>
      </w:r>
    </w:p>
    <w:p>
      <w:pPr>
        <w:pStyle w:val="ListBullet"/>
        <w:spacing w:after="50" w:line="247" w:lineRule="auto"/>
        <w:ind w:left="403" w:hanging="202"/>
      </w:pPr>
      <w:r>
        <w:rPr>
          <w:rFonts w:ascii="Arial" w:hAnsi="Arial" w:eastAsia="Arial"/>
          <w:color w:val="23282D"/>
          <w:sz w:val="19"/>
        </w:rPr>
        <w:t>application-related files;</w:t>
      </w:r>
    </w:p>
    <w:p>
      <w:pPr>
        <w:pStyle w:val="ListBullet"/>
        <w:spacing w:after="50" w:line="247" w:lineRule="auto"/>
        <w:ind w:left="403" w:hanging="202"/>
      </w:pPr>
      <w:r>
        <w:rPr>
          <w:rFonts w:ascii="Arial" w:hAnsi="Arial" w:eastAsia="Arial"/>
          <w:color w:val="23282D"/>
          <w:sz w:val="19"/>
        </w:rPr>
        <w:t>images and interface assets;</w:t>
      </w:r>
    </w:p>
    <w:p>
      <w:pPr>
        <w:pStyle w:val="ListBullet"/>
        <w:spacing w:after="50" w:line="247" w:lineRule="auto"/>
        <w:ind w:left="403" w:hanging="202"/>
      </w:pPr>
      <w:r>
        <w:rPr>
          <w:rFonts w:ascii="Arial" w:hAnsi="Arial" w:eastAsia="Arial"/>
          <w:color w:val="23282D"/>
          <w:sz w:val="19"/>
        </w:rPr>
        <w:t>JSON records and catalog files;</w:t>
      </w:r>
    </w:p>
    <w:p>
      <w:pPr>
        <w:pStyle w:val="ListBullet"/>
        <w:spacing w:after="50" w:line="247" w:lineRule="auto"/>
        <w:ind w:left="403" w:hanging="202"/>
      </w:pPr>
      <w:r>
        <w:rPr>
          <w:rFonts w:ascii="Arial" w:hAnsi="Arial" w:eastAsia="Arial"/>
          <w:color w:val="23282D"/>
          <w:sz w:val="19"/>
        </w:rPr>
        <w:t>schemas, workflow definitions, and rulesets;</w:t>
      </w:r>
    </w:p>
    <w:p>
      <w:pPr>
        <w:pStyle w:val="ListBullet"/>
        <w:spacing w:after="50" w:line="247" w:lineRule="auto"/>
        <w:ind w:left="403" w:hanging="202"/>
      </w:pPr>
      <w:r>
        <w:rPr>
          <w:rFonts w:ascii="Arial" w:hAnsi="Arial" w:eastAsia="Arial"/>
          <w:color w:val="23282D"/>
          <w:sz w:val="19"/>
        </w:rPr>
        <w:t>documentation source files;</w:t>
      </w:r>
    </w:p>
    <w:p>
      <w:pPr>
        <w:pStyle w:val="ListBullet"/>
        <w:spacing w:after="50" w:line="247" w:lineRule="auto"/>
        <w:ind w:left="403" w:hanging="202"/>
      </w:pPr>
      <w:r>
        <w:rPr>
          <w:rFonts w:ascii="Arial" w:hAnsi="Arial" w:eastAsia="Arial"/>
          <w:color w:val="23282D"/>
          <w:sz w:val="19"/>
        </w:rPr>
        <w:t>versioned development artifacts and historical states.</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The repository provides organization, version history, and an authoritative location for files whose meaning depends on filenames, paths, and relationships.</w:t>
      </w:r>
    </w:p>
    <w:p>
      <w:pPr>
        <w:pStyle w:val="Heading2"/>
        <w:keepNext/>
        <w:spacing w:before="200" w:after="80"/>
      </w:pPr>
      <w:r>
        <w:rPr>
          <w:rFonts w:ascii="Arial" w:hAnsi="Arial" w:eastAsia="Arial"/>
          <w:b/>
          <w:color w:val="E0A92F"/>
          <w:sz w:val="26"/>
        </w:rPr>
        <w:t xml:space="preserve">10. </w:t>
      </w:r>
      <w:r>
        <w:rPr>
          <w:rFonts w:ascii="Arial" w:hAnsi="Arial" w:eastAsia="Arial"/>
          <w:b/>
          <w:color w:val="17324D"/>
          <w:sz w:val="26"/>
        </w:rPr>
        <w:t>GitHub Pages asset hosting</w:t>
      </w:r>
    </w:p>
    <w:p>
      <w:pPr>
        <w:spacing w:after="100" w:line="259" w:lineRule="auto"/>
      </w:pPr>
      <w:r>
        <w:rPr>
          <w:rFonts w:ascii="Arial" w:hAnsi="Arial" w:eastAsia="Arial"/>
          <w:color w:val="23282D"/>
          <w:sz w:val="20"/>
        </w:rPr>
        <w:t>GitHub Pages hosts images and other static files used by the applications and documentation.</w:t>
      </w:r>
    </w:p>
    <w:p>
      <w:pPr>
        <w:pStyle w:val="ListBullet"/>
        <w:spacing w:after="50" w:line="247" w:lineRule="auto"/>
        <w:ind w:left="403" w:hanging="202"/>
      </w:pPr>
      <w:r>
        <w:rPr>
          <w:rFonts w:ascii="Arial" w:hAnsi="Arial" w:eastAsia="Arial"/>
          <w:color w:val="23282D"/>
          <w:sz w:val="19"/>
        </w:rPr>
        <w:t>product images;</w:t>
      </w:r>
    </w:p>
    <w:p>
      <w:pPr>
        <w:pStyle w:val="ListBullet"/>
        <w:spacing w:after="50" w:line="247" w:lineRule="auto"/>
        <w:ind w:left="403" w:hanging="202"/>
      </w:pPr>
      <w:r>
        <w:rPr>
          <w:rFonts w:ascii="Arial" w:hAnsi="Arial" w:eastAsia="Arial"/>
          <w:color w:val="23282D"/>
          <w:sz w:val="19"/>
        </w:rPr>
        <w:t>application graphics and interface art;</w:t>
      </w:r>
    </w:p>
    <w:p>
      <w:pPr>
        <w:pStyle w:val="ListBullet"/>
        <w:spacing w:after="50" w:line="247" w:lineRule="auto"/>
        <w:ind w:left="403" w:hanging="202"/>
      </w:pPr>
      <w:r>
        <w:rPr>
          <w:rFonts w:ascii="Arial" w:hAnsi="Arial" w:eastAsia="Arial"/>
          <w:color w:val="23282D"/>
          <w:sz w:val="19"/>
        </w:rPr>
        <w:t>work-update cover images;</w:t>
      </w:r>
    </w:p>
    <w:p>
      <w:pPr>
        <w:pStyle w:val="ListBullet"/>
        <w:spacing w:after="50" w:line="247" w:lineRule="auto"/>
        <w:ind w:left="403" w:hanging="202"/>
      </w:pPr>
      <w:r>
        <w:rPr>
          <w:rFonts w:ascii="Arial" w:hAnsi="Arial" w:eastAsia="Arial"/>
          <w:color w:val="23282D"/>
          <w:sz w:val="19"/>
        </w:rPr>
        <w:t>public HTML and JSON files;</w:t>
      </w:r>
    </w:p>
    <w:p>
      <w:pPr>
        <w:pStyle w:val="ListBullet"/>
        <w:spacing w:after="50" w:line="247" w:lineRule="auto"/>
        <w:ind w:left="403" w:hanging="202"/>
      </w:pPr>
      <w:r>
        <w:rPr>
          <w:rFonts w:ascii="Arial" w:hAnsi="Arial" w:eastAsia="Arial"/>
          <w:color w:val="23282D"/>
          <w:sz w:val="19"/>
        </w:rPr>
        <w:t>published documentation pages and supporting assets.</w:t>
      </w:r>
    </w:p>
    <w:p>
      <w:pPr>
        <w:spacing w:after="80" w:line="254" w:lineRule="auto"/>
      </w:pPr>
      <w:r>
        <w:rPr>
          <w:rFonts w:ascii="Arial" w:hAnsi="Arial" w:eastAsia="Arial"/>
          <w:b/>
          <w:color w:val="265B87"/>
          <w:sz w:val="19"/>
        </w:rPr>
        <w:t xml:space="preserve">Integration burden: </w:t>
      </w:r>
      <w:r>
        <w:rPr>
          <w:rFonts w:ascii="Arial" w:hAnsi="Arial" w:eastAsia="Arial"/>
          <w:color w:val="23282D"/>
          <w:sz w:val="19"/>
        </w:rPr>
        <w:t>The application may contain only a URL. The actual file must exist at the correct repository path with the correct filename, capitalization, publication state, and permissions.</w:t>
      </w:r>
    </w:p>
    <w:p>
      <w:pPr>
        <w:pStyle w:val="Heading2"/>
        <w:keepNext/>
        <w:spacing w:before="200" w:after="80"/>
      </w:pPr>
      <w:r>
        <w:rPr>
          <w:rFonts w:ascii="Arial" w:hAnsi="Arial" w:eastAsia="Arial"/>
          <w:b/>
          <w:color w:val="E0A92F"/>
          <w:sz w:val="26"/>
        </w:rPr>
        <w:t xml:space="preserve">11. </w:t>
      </w:r>
      <w:r>
        <w:rPr>
          <w:rFonts w:ascii="Arial" w:hAnsi="Arial" w:eastAsia="Arial"/>
          <w:b/>
          <w:color w:val="17324D"/>
          <w:sz w:val="26"/>
        </w:rPr>
        <w:t>GitHub Pages documentation publishing</w:t>
      </w:r>
    </w:p>
    <w:p>
      <w:pPr>
        <w:spacing w:after="100" w:line="259" w:lineRule="auto"/>
      </w:pPr>
      <w:r>
        <w:rPr>
          <w:rFonts w:ascii="Arial" w:hAnsi="Arial" w:eastAsia="Arial"/>
          <w:color w:val="23282D"/>
          <w:sz w:val="20"/>
        </w:rPr>
        <w:t>The documentation itself is published on GitHub Pages. It records what changed, why it changed, what failed, what was tested, what remains incomplete, and how the separate systems fit together.</w:t>
      </w:r>
    </w:p>
    <w:p>
      <w:pPr>
        <w:spacing w:after="80" w:line="254" w:lineRule="auto"/>
      </w:pPr>
      <w:r>
        <w:rPr>
          <w:rFonts w:ascii="Arial" w:hAnsi="Arial" w:eastAsia="Arial"/>
          <w:b/>
          <w:color w:val="265B87"/>
          <w:sz w:val="19"/>
        </w:rPr>
        <w:t xml:space="preserve">Important distinction: </w:t>
      </w:r>
      <w:r>
        <w:rPr>
          <w:rFonts w:ascii="Arial" w:hAnsi="Arial" w:eastAsia="Arial"/>
          <w:color w:val="23282D"/>
          <w:sz w:val="19"/>
        </w:rPr>
        <w:t>GitHub Pages contains the published documentation. Google Sites provides the human-facing index that points to it.</w:t>
      </w:r>
    </w:p>
    <w:p>
      <w:pPr>
        <w:pStyle w:val="Heading2"/>
        <w:keepNext/>
        <w:spacing w:before="200" w:after="80"/>
      </w:pPr>
      <w:r>
        <w:rPr>
          <w:rFonts w:ascii="Arial" w:hAnsi="Arial" w:eastAsia="Arial"/>
          <w:b/>
          <w:color w:val="E0A92F"/>
          <w:sz w:val="26"/>
        </w:rPr>
        <w:t xml:space="preserve">12. </w:t>
      </w:r>
      <w:r>
        <w:rPr>
          <w:rFonts w:ascii="Arial" w:hAnsi="Arial" w:eastAsia="Arial"/>
          <w:b/>
          <w:color w:val="17324D"/>
          <w:sz w:val="26"/>
        </w:rPr>
        <w:t>Google Drive and Google-managed files</w:t>
      </w:r>
    </w:p>
    <w:p>
      <w:pPr>
        <w:spacing w:after="100" w:line="259" w:lineRule="auto"/>
      </w:pPr>
      <w:r>
        <w:rPr>
          <w:rFonts w:ascii="Arial" w:hAnsi="Arial" w:eastAsia="Arial"/>
          <w:color w:val="23282D"/>
          <w:sz w:val="20"/>
        </w:rPr>
        <w:t>Google Drive stores many of the pages and resources used by the tools because Google Sheets, Apps Script, Sites, and related working documents are created or managed through Google's file environment.</w:t>
      </w:r>
    </w:p>
    <w:p>
      <w:pPr>
        <w:pStyle w:val="ListBullet"/>
        <w:spacing w:after="50" w:line="247" w:lineRule="auto"/>
        <w:ind w:left="403" w:hanging="202"/>
      </w:pPr>
      <w:r>
        <w:rPr>
          <w:rFonts w:ascii="Arial" w:hAnsi="Arial" w:eastAsia="Arial"/>
          <w:color w:val="23282D"/>
          <w:sz w:val="19"/>
        </w:rPr>
        <w:t>Google Sheets workbooks;</w:t>
      </w:r>
    </w:p>
    <w:p>
      <w:pPr>
        <w:pStyle w:val="ListBullet"/>
        <w:spacing w:after="50" w:line="247" w:lineRule="auto"/>
        <w:ind w:left="403" w:hanging="202"/>
      </w:pPr>
      <w:r>
        <w:rPr>
          <w:rFonts w:ascii="Arial" w:hAnsi="Arial" w:eastAsia="Arial"/>
          <w:color w:val="23282D"/>
          <w:sz w:val="19"/>
        </w:rPr>
        <w:t>Apps Script projects and deployments;</w:t>
      </w:r>
    </w:p>
    <w:p>
      <w:pPr>
        <w:pStyle w:val="ListBullet"/>
        <w:spacing w:after="50" w:line="247" w:lineRule="auto"/>
        <w:ind w:left="403" w:hanging="202"/>
      </w:pPr>
      <w:r>
        <w:rPr>
          <w:rFonts w:ascii="Arial" w:hAnsi="Arial" w:eastAsia="Arial"/>
          <w:color w:val="23282D"/>
          <w:sz w:val="19"/>
        </w:rPr>
        <w:t>Google Sites resources;</w:t>
      </w:r>
    </w:p>
    <w:p>
      <w:pPr>
        <w:pStyle w:val="ListBullet"/>
        <w:spacing w:after="50" w:line="247" w:lineRule="auto"/>
        <w:ind w:left="403" w:hanging="202"/>
      </w:pPr>
      <w:r>
        <w:rPr>
          <w:rFonts w:ascii="Arial" w:hAnsi="Arial" w:eastAsia="Arial"/>
          <w:color w:val="23282D"/>
          <w:sz w:val="19"/>
        </w:rPr>
        <w:t>working documents and source material;</w:t>
      </w:r>
    </w:p>
    <w:p>
      <w:pPr>
        <w:pStyle w:val="ListBullet"/>
        <w:spacing w:after="50" w:line="247" w:lineRule="auto"/>
        <w:ind w:left="403" w:hanging="202"/>
      </w:pPr>
      <w:r>
        <w:rPr>
          <w:rFonts w:ascii="Arial" w:hAnsi="Arial" w:eastAsia="Arial"/>
          <w:color w:val="23282D"/>
          <w:sz w:val="19"/>
        </w:rPr>
        <w:t>generated or exported files;</w:t>
      </w:r>
    </w:p>
    <w:p>
      <w:pPr>
        <w:pStyle w:val="ListBullet"/>
        <w:spacing w:after="50" w:line="247" w:lineRule="auto"/>
        <w:ind w:left="403" w:hanging="202"/>
      </w:pPr>
      <w:r>
        <w:rPr>
          <w:rFonts w:ascii="Arial" w:hAnsi="Arial" w:eastAsia="Arial"/>
          <w:color w:val="23282D"/>
          <w:sz w:val="19"/>
        </w:rPr>
        <w:t>supporting operational documents.</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Drive remains part of the application environment even when it is invisible from the Work Queue screen.</w:t>
      </w:r>
    </w:p>
    <w:p>
      <w:pPr>
        <w:pStyle w:val="Heading2"/>
        <w:keepNext/>
        <w:spacing w:before="200" w:after="80"/>
      </w:pPr>
      <w:r>
        <w:rPr>
          <w:rFonts w:ascii="Arial" w:hAnsi="Arial" w:eastAsia="Arial"/>
          <w:b/>
          <w:color w:val="E0A92F"/>
          <w:sz w:val="26"/>
        </w:rPr>
        <w:t xml:space="preserve">13. </w:t>
      </w:r>
      <w:r>
        <w:rPr>
          <w:rFonts w:ascii="Arial" w:hAnsi="Arial" w:eastAsia="Arial"/>
          <w:b/>
          <w:color w:val="17324D"/>
          <w:sz w:val="26"/>
        </w:rPr>
        <w:t>VS Code development environment</w:t>
      </w:r>
    </w:p>
    <w:p>
      <w:pPr>
        <w:spacing w:after="100" w:line="259" w:lineRule="auto"/>
      </w:pPr>
      <w:r>
        <w:rPr>
          <w:rFonts w:ascii="Arial" w:hAnsi="Arial" w:eastAsia="Arial"/>
          <w:color w:val="23282D"/>
          <w:sz w:val="20"/>
        </w:rPr>
        <w:t>VS Code is the software-development environment where development operations take place and where generated pieces are turned into maintained project files.</w:t>
      </w:r>
    </w:p>
    <w:p>
      <w:pPr>
        <w:pStyle w:val="ListBullet"/>
        <w:spacing w:after="50" w:line="247" w:lineRule="auto"/>
        <w:ind w:left="403" w:hanging="202"/>
      </w:pPr>
      <w:r>
        <w:rPr>
          <w:rFonts w:ascii="Arial" w:hAnsi="Arial" w:eastAsia="Arial"/>
          <w:color w:val="23282D"/>
          <w:sz w:val="19"/>
        </w:rPr>
        <w:t>JavaScript, HTML, CSS, Python, and JSON source files;</w:t>
      </w:r>
    </w:p>
    <w:p>
      <w:pPr>
        <w:pStyle w:val="ListBullet"/>
        <w:spacing w:after="50" w:line="247" w:lineRule="auto"/>
        <w:ind w:left="403" w:hanging="202"/>
      </w:pPr>
      <w:r>
        <w:rPr>
          <w:rFonts w:ascii="Arial" w:hAnsi="Arial" w:eastAsia="Arial"/>
          <w:color w:val="23282D"/>
          <w:sz w:val="19"/>
        </w:rPr>
        <w:t>schemas, catalogs, and metadata documents;</w:t>
      </w:r>
    </w:p>
    <w:p>
      <w:pPr>
        <w:pStyle w:val="ListBullet"/>
        <w:spacing w:after="50" w:line="247" w:lineRule="auto"/>
        <w:ind w:left="403" w:hanging="202"/>
      </w:pPr>
      <w:r>
        <w:rPr>
          <w:rFonts w:ascii="Arial" w:hAnsi="Arial" w:eastAsia="Arial"/>
          <w:color w:val="23282D"/>
          <w:sz w:val="19"/>
        </w:rPr>
        <w:t>repository structures and versioned files;</w:t>
      </w:r>
    </w:p>
    <w:p>
      <w:pPr>
        <w:pStyle w:val="ListBullet"/>
        <w:spacing w:after="50" w:line="247" w:lineRule="auto"/>
        <w:ind w:left="403" w:hanging="202"/>
      </w:pPr>
      <w:r>
        <w:rPr>
          <w:rFonts w:ascii="Arial" w:hAnsi="Arial" w:eastAsia="Arial"/>
          <w:color w:val="23282D"/>
          <w:sz w:val="19"/>
        </w:rPr>
        <w:t>file comparison, editing, validation, and testing;</w:t>
      </w:r>
    </w:p>
    <w:p>
      <w:pPr>
        <w:pStyle w:val="ListBullet"/>
        <w:spacing w:after="50" w:line="247" w:lineRule="auto"/>
        <w:ind w:left="403" w:hanging="202"/>
      </w:pPr>
      <w:r>
        <w:rPr>
          <w:rFonts w:ascii="Arial" w:hAnsi="Arial" w:eastAsia="Arial"/>
          <w:color w:val="23282D"/>
          <w:sz w:val="19"/>
        </w:rPr>
        <w:t>Git operations and deployment preparation.</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Code does not move automatically from a conversation into the correct file, location, version, and deployment. It must be transferred, integrated, checked, revised, and preserved.</w:t>
      </w:r>
    </w:p>
    <w:p>
      <w:pPr>
        <w:pStyle w:val="Heading2"/>
        <w:keepNext/>
        <w:spacing w:before="200" w:after="80"/>
      </w:pPr>
      <w:r>
        <w:rPr>
          <w:rFonts w:ascii="Arial" w:hAnsi="Arial" w:eastAsia="Arial"/>
          <w:b/>
          <w:color w:val="E0A92F"/>
          <w:sz w:val="26"/>
        </w:rPr>
        <w:t xml:space="preserve">14. </w:t>
      </w:r>
      <w:r>
        <w:rPr>
          <w:rFonts w:ascii="Arial" w:hAnsi="Arial" w:eastAsia="Arial"/>
          <w:b/>
          <w:color w:val="17324D"/>
          <w:sz w:val="26"/>
        </w:rPr>
        <w:t>Integration work between systems</w:t>
      </w:r>
    </w:p>
    <w:p>
      <w:pPr>
        <w:spacing w:after="100" w:line="259" w:lineRule="auto"/>
      </w:pPr>
      <w:r>
        <w:rPr>
          <w:rFonts w:ascii="Arial" w:hAnsi="Arial" w:eastAsia="Arial"/>
          <w:color w:val="23282D"/>
          <w:sz w:val="20"/>
        </w:rPr>
        <w:t>The integration layer is largely invisible, but it is what makes the visible application function.</w:t>
      </w:r>
    </w:p>
    <w:p>
      <w:pPr>
        <w:pStyle w:val="ListBullet"/>
        <w:spacing w:after="50" w:line="247" w:lineRule="auto"/>
        <w:ind w:left="403" w:hanging="202"/>
      </w:pPr>
      <w:r>
        <w:rPr>
          <w:rFonts w:ascii="Arial" w:hAnsi="Arial" w:eastAsia="Arial"/>
          <w:color w:val="23282D"/>
          <w:sz w:val="19"/>
        </w:rPr>
        <w:t>matching field names and data types;</w:t>
      </w:r>
    </w:p>
    <w:p>
      <w:pPr>
        <w:pStyle w:val="ListBullet"/>
        <w:spacing w:after="50" w:line="247" w:lineRule="auto"/>
        <w:ind w:left="403" w:hanging="202"/>
      </w:pPr>
      <w:r>
        <w:rPr>
          <w:rFonts w:ascii="Arial" w:hAnsi="Arial" w:eastAsia="Arial"/>
          <w:color w:val="23282D"/>
          <w:sz w:val="19"/>
        </w:rPr>
        <w:t>preserving stable IDs across sheets and applications;</w:t>
      </w:r>
    </w:p>
    <w:p>
      <w:pPr>
        <w:pStyle w:val="ListBullet"/>
        <w:spacing w:after="50" w:line="247" w:lineRule="auto"/>
        <w:ind w:left="403" w:hanging="202"/>
      </w:pPr>
      <w:r>
        <w:rPr>
          <w:rFonts w:ascii="Arial" w:hAnsi="Arial" w:eastAsia="Arial"/>
          <w:color w:val="23282D"/>
          <w:sz w:val="19"/>
        </w:rPr>
        <w:t>maintaining file paths and public URLs;</w:t>
      </w:r>
    </w:p>
    <w:p>
      <w:pPr>
        <w:pStyle w:val="ListBullet"/>
        <w:spacing w:after="50" w:line="247" w:lineRule="auto"/>
        <w:ind w:left="403" w:hanging="202"/>
      </w:pPr>
      <w:r>
        <w:rPr>
          <w:rFonts w:ascii="Arial" w:hAnsi="Arial" w:eastAsia="Arial"/>
          <w:color w:val="23282D"/>
          <w:sz w:val="19"/>
        </w:rPr>
        <w:t>checking access permissions and deployment status;</w:t>
      </w:r>
    </w:p>
    <w:p>
      <w:pPr>
        <w:pStyle w:val="ListBullet"/>
        <w:spacing w:after="50" w:line="247" w:lineRule="auto"/>
        <w:ind w:left="403" w:hanging="202"/>
      </w:pPr>
      <w:r>
        <w:rPr>
          <w:rFonts w:ascii="Arial" w:hAnsi="Arial" w:eastAsia="Arial"/>
          <w:color w:val="23282D"/>
          <w:sz w:val="19"/>
        </w:rPr>
        <w:t>keeping filenames and internal metadata consistent;</w:t>
      </w:r>
    </w:p>
    <w:p>
      <w:pPr>
        <w:pStyle w:val="ListBullet"/>
        <w:spacing w:after="50" w:line="247" w:lineRule="auto"/>
        <w:ind w:left="403" w:hanging="202"/>
      </w:pPr>
      <w:r>
        <w:rPr>
          <w:rFonts w:ascii="Arial" w:hAnsi="Arial" w:eastAsia="Arial"/>
          <w:color w:val="23282D"/>
          <w:sz w:val="19"/>
        </w:rPr>
        <w:t>updating schemas, catalogs, and workflow records;</w:t>
      </w:r>
    </w:p>
    <w:p>
      <w:pPr>
        <w:pStyle w:val="ListBullet"/>
        <w:spacing w:after="50" w:line="247" w:lineRule="auto"/>
        <w:ind w:left="403" w:hanging="202"/>
      </w:pPr>
      <w:r>
        <w:rPr>
          <w:rFonts w:ascii="Arial" w:hAnsi="Arial" w:eastAsia="Arial"/>
          <w:color w:val="23282D"/>
          <w:sz w:val="19"/>
        </w:rPr>
        <w:t>testing after changes and preventing regressions;</w:t>
      </w:r>
    </w:p>
    <w:p>
      <w:pPr>
        <w:pStyle w:val="ListBullet"/>
        <w:spacing w:after="50" w:line="247" w:lineRule="auto"/>
        <w:ind w:left="403" w:hanging="202"/>
      </w:pPr>
      <w:r>
        <w:rPr>
          <w:rFonts w:ascii="Arial" w:hAnsi="Arial" w:eastAsia="Arial"/>
          <w:color w:val="23282D"/>
          <w:sz w:val="19"/>
        </w:rPr>
        <w:t>deciding which file or version is authoritative;</w:t>
      </w:r>
    </w:p>
    <w:p>
      <w:pPr>
        <w:pStyle w:val="ListBullet"/>
        <w:spacing w:after="50" w:line="247" w:lineRule="auto"/>
        <w:ind w:left="403" w:hanging="202"/>
      </w:pPr>
      <w:r>
        <w:rPr>
          <w:rFonts w:ascii="Arial" w:hAnsi="Arial" w:eastAsia="Arial"/>
          <w:color w:val="23282D"/>
          <w:sz w:val="19"/>
        </w:rPr>
        <w:t>reconciling changes when one system evolves faster than another.</w:t>
      </w:r>
    </w:p>
    <w:tbl>
      <w:tblPr>
        <w:tblW w:type="auto" w:w="0"/>
        <w:jc w:val="center"/>
        <w:tblLayout w:type="autofit"/>
        <w:tblLook w:firstColumn="1" w:firstRow="1" w:lastColumn="0" w:lastRow="0" w:noHBand="0" w:noVBand="1" w:val="04A0"/>
      </w:tblPr>
      <w:tblGrid>
        <w:gridCol w:w="9994"/>
      </w:tblGrid>
      <w:tr>
        <w:tc>
          <w:tcPr>
            <w:tcW w:type="dxa" w:w="9994"/>
            <w:shd w:fill="FFF4D6"/>
            <w:tcBorders>
              <w:top w:val="nil"/>
              <w:left w:val="single" w:sz="16" w:color="E0A92F"/>
              <w:bottom w:val="nil"/>
              <w:right w:val="nil"/>
            </w:tcBorders>
            <w:vAlign w:val="center"/>
          </w:tcPr>
          <w:p>
            <w:pPr>
              <w:spacing w:after="60"/>
            </w:pPr>
            <w:r>
              <w:rPr>
                <w:rFonts w:ascii="Arial" w:hAnsi="Arial" w:eastAsia="Arial"/>
                <w:b/>
                <w:color w:val="17324D"/>
                <w:sz w:val="20"/>
              </w:rPr>
              <w:t>What AI does not do automatically</w:t>
            </w:r>
          </w:p>
          <w:p>
            <w:pPr>
              <w:spacing w:after="0" w:line="254" w:lineRule="auto"/>
            </w:pPr>
            <w:r>
              <w:rPr>
                <w:rFonts w:ascii="Arial" w:hAnsi="Arial" w:eastAsia="Arial"/>
                <w:color w:val="23282D"/>
                <w:sz w:val="19"/>
              </w:rPr>
              <w:t>A generated code block does not know where it belongs, which version it replaces, what other files depend on it, whether its assumptions match the live data, or whether the deployment still works after the change.</w:t>
            </w:r>
          </w:p>
        </w:tc>
      </w:tr>
    </w:tbl>
    <w:p>
      <w:pPr>
        <w:spacing w:after="0"/>
      </w:pPr>
    </w:p>
    <w:p>
      <w:pPr>
        <w:pStyle w:val="Heading1"/>
        <w:spacing w:before="320" w:after="40"/>
        <w:keepNext/>
      </w:pPr>
      <w:r>
        <w:rPr>
          <w:rFonts w:ascii="Arial" w:hAnsi="Arial" w:eastAsia="Arial"/>
          <w:b/>
          <w:color w:val="17324D"/>
          <w:sz w:val="34"/>
        </w:rPr>
        <w:t>Layer IV — Access, communication, and publication</w:t>
      </w:r>
    </w:p>
    <w:p>
      <w:pPr>
        <w:spacing w:after="160"/>
        <w:keepNext/>
      </w:pPr>
      <w:r>
        <w:rPr>
          <w:rFonts w:ascii="Arial" w:hAnsi="Arial" w:eastAsia="Arial"/>
          <w:i/>
          <w:color w:val="5C6874"/>
          <w:sz w:val="19"/>
        </w:rPr>
        <w:t>A working system also requires reliable entrances, current links, and deliberate communication.</w:t>
      </w:r>
    </w:p>
    <w:p>
      <w:pPr>
        <w:pStyle w:val="Heading2"/>
        <w:keepNext/>
        <w:spacing w:before="200" w:after="80"/>
      </w:pPr>
      <w:r>
        <w:rPr>
          <w:rFonts w:ascii="Arial" w:hAnsi="Arial" w:eastAsia="Arial"/>
          <w:b/>
          <w:color w:val="E0A92F"/>
          <w:sz w:val="26"/>
        </w:rPr>
        <w:t xml:space="preserve">15. </w:t>
      </w:r>
      <w:r>
        <w:rPr>
          <w:rFonts w:ascii="Arial" w:hAnsi="Arial" w:eastAsia="Arial"/>
          <w:b/>
          <w:color w:val="17324D"/>
          <w:sz w:val="26"/>
        </w:rPr>
        <w:t>Google Sites documentation index</w:t>
      </w:r>
    </w:p>
    <w:p>
      <w:pPr>
        <w:spacing w:after="100" w:line="259" w:lineRule="auto"/>
      </w:pPr>
      <w:r>
        <w:rPr>
          <w:rFonts w:ascii="Arial" w:hAnsi="Arial" w:eastAsia="Arial"/>
          <w:color w:val="23282D"/>
          <w:sz w:val="20"/>
        </w:rPr>
        <w:t>Google Sites centralizes the documentation index and gives readers a human-facing entrance to material published on GitHub Pages.</w:t>
      </w:r>
    </w:p>
    <w:p>
      <w:pPr>
        <w:spacing w:after="80" w:line="254" w:lineRule="auto"/>
      </w:pPr>
      <w:r>
        <w:rPr>
          <w:rFonts w:ascii="Arial" w:hAnsi="Arial" w:eastAsia="Arial"/>
          <w:b/>
          <w:color w:val="265B87"/>
          <w:sz w:val="19"/>
        </w:rPr>
        <w:t xml:space="preserve">Division of responsibility: </w:t>
      </w:r>
      <w:r>
        <w:rPr>
          <w:rFonts w:ascii="Arial" w:hAnsi="Arial" w:eastAsia="Arial"/>
          <w:color w:val="23282D"/>
          <w:sz w:val="19"/>
        </w:rPr>
        <w:t>Google Sites is the index and navigation layer. GitHub Pages contains the actual published documentation.</w:t>
      </w:r>
    </w:p>
    <w:p>
      <w:pPr>
        <w:spacing w:after="80" w:line="254" w:lineRule="auto"/>
      </w:pPr>
      <w:r>
        <w:rPr>
          <w:rFonts w:ascii="Arial" w:hAnsi="Arial" w:eastAsia="Arial"/>
          <w:b/>
          <w:color w:val="265B87"/>
          <w:sz w:val="19"/>
        </w:rPr>
        <w:t xml:space="preserve">Maintenance requirement: </w:t>
      </w:r>
      <w:r>
        <w:rPr>
          <w:rFonts w:ascii="Arial" w:hAnsi="Arial" w:eastAsia="Arial"/>
          <w:color w:val="23282D"/>
          <w:sz w:val="19"/>
        </w:rPr>
        <w:t>The index must continue pointing to files whose names and locations are controlled in another system.</w:t>
      </w:r>
    </w:p>
    <w:p>
      <w:pPr>
        <w:pStyle w:val="Heading2"/>
        <w:keepNext/>
        <w:spacing w:before="200" w:after="80"/>
      </w:pPr>
      <w:r>
        <w:rPr>
          <w:rFonts w:ascii="Arial" w:hAnsi="Arial" w:eastAsia="Arial"/>
          <w:b/>
          <w:color w:val="E0A92F"/>
          <w:sz w:val="26"/>
        </w:rPr>
        <w:t xml:space="preserve">16. </w:t>
      </w:r>
      <w:r>
        <w:rPr>
          <w:rFonts w:ascii="Arial" w:hAnsi="Arial" w:eastAsia="Arial"/>
          <w:b/>
          <w:color w:val="17324D"/>
          <w:sz w:val="26"/>
        </w:rPr>
        <w:t>Central tools webpage</w:t>
      </w:r>
    </w:p>
    <w:p>
      <w:pPr>
        <w:spacing w:after="100" w:line="259" w:lineRule="auto"/>
      </w:pPr>
      <w:r>
        <w:rPr>
          <w:rFonts w:ascii="Arial" w:hAnsi="Arial" w:eastAsia="Arial"/>
          <w:color w:val="23282D"/>
          <w:sz w:val="20"/>
        </w:rPr>
        <w:t>A central webpage keeps the tools in one place so users do not have to remember scattered URLs or wonder which shortcut is current.</w:t>
      </w:r>
    </w:p>
    <w:p>
      <w:pPr>
        <w:pStyle w:val="ListBullet"/>
        <w:spacing w:after="50" w:line="247" w:lineRule="auto"/>
        <w:ind w:left="403" w:hanging="202"/>
      </w:pPr>
      <w:r>
        <w:rPr>
          <w:rFonts w:ascii="Arial" w:hAnsi="Arial" w:eastAsia="Arial"/>
          <w:color w:val="23282D"/>
          <w:sz w:val="19"/>
        </w:rPr>
        <w:t>Where do I add inventory?</w:t>
      </w:r>
    </w:p>
    <w:p>
      <w:pPr>
        <w:pStyle w:val="ListBullet"/>
        <w:spacing w:after="50" w:line="247" w:lineRule="auto"/>
        <w:ind w:left="403" w:hanging="202"/>
      </w:pPr>
      <w:r>
        <w:rPr>
          <w:rFonts w:ascii="Arial" w:hAnsi="Arial" w:eastAsia="Arial"/>
          <w:color w:val="23282D"/>
          <w:sz w:val="19"/>
        </w:rPr>
        <w:t>What is the current Work Queue address?</w:t>
      </w:r>
    </w:p>
    <w:p>
      <w:pPr>
        <w:pStyle w:val="ListBullet"/>
        <w:spacing w:after="50" w:line="247" w:lineRule="auto"/>
        <w:ind w:left="403" w:hanging="202"/>
      </w:pPr>
      <w:r>
        <w:rPr>
          <w:rFonts w:ascii="Arial" w:hAnsi="Arial" w:eastAsia="Arial"/>
          <w:color w:val="23282D"/>
          <w:sz w:val="19"/>
        </w:rPr>
        <w:t>Where is the SDS tool?</w:t>
      </w:r>
    </w:p>
    <w:p>
      <w:pPr>
        <w:pStyle w:val="ListBullet"/>
        <w:spacing w:after="50" w:line="247" w:lineRule="auto"/>
        <w:ind w:left="403" w:hanging="202"/>
      </w:pPr>
      <w:r>
        <w:rPr>
          <w:rFonts w:ascii="Arial" w:hAnsi="Arial" w:eastAsia="Arial"/>
          <w:color w:val="23282D"/>
          <w:sz w:val="19"/>
        </w:rPr>
        <w:t>Which shortcut is still valid?</w:t>
      </w:r>
    </w:p>
    <w:p>
      <w:pPr>
        <w:pStyle w:val="ListBullet"/>
        <w:spacing w:after="50" w:line="247" w:lineRule="auto"/>
        <w:ind w:left="403" w:hanging="202"/>
      </w:pPr>
      <w:r>
        <w:rPr>
          <w:rFonts w:ascii="Arial" w:hAnsi="Arial" w:eastAsia="Arial"/>
          <w:color w:val="23282D"/>
          <w:sz w:val="19"/>
        </w:rPr>
        <w:t>Did the application link change?</w:t>
      </w:r>
    </w:p>
    <w:p>
      <w:pPr>
        <w:pStyle w:val="ListBullet"/>
        <w:spacing w:after="50" w:line="247" w:lineRule="auto"/>
        <w:ind w:left="403" w:hanging="202"/>
      </w:pPr>
      <w:r>
        <w:rPr>
          <w:rFonts w:ascii="Arial" w:hAnsi="Arial" w:eastAsia="Arial"/>
          <w:color w:val="23282D"/>
          <w:sz w:val="19"/>
        </w:rPr>
        <w:t>Where is the documentation or update page?</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The page is a navigation and continuity layer. It reduces broken-link confusion and prevents the ecosystem from becoming a collection of inaccessible tools.</w:t>
      </w:r>
    </w:p>
    <w:p>
      <w:pPr>
        <w:pStyle w:val="Heading2"/>
        <w:keepNext/>
        <w:spacing w:before="200" w:after="80"/>
      </w:pPr>
      <w:r>
        <w:rPr>
          <w:rFonts w:ascii="Arial" w:hAnsi="Arial" w:eastAsia="Arial"/>
          <w:b/>
          <w:color w:val="E0A92F"/>
          <w:sz w:val="26"/>
        </w:rPr>
        <w:t xml:space="preserve">17. </w:t>
      </w:r>
      <w:r>
        <w:rPr>
          <w:rFonts w:ascii="Arial" w:hAnsi="Arial" w:eastAsia="Arial"/>
          <w:b/>
          <w:color w:val="17324D"/>
          <w:sz w:val="26"/>
        </w:rPr>
        <w:t>Email Composer</w:t>
      </w:r>
    </w:p>
    <w:p>
      <w:pPr>
        <w:spacing w:after="100" w:line="259" w:lineRule="auto"/>
      </w:pPr>
      <w:r>
        <w:rPr>
          <w:rFonts w:ascii="Arial" w:hAnsi="Arial" w:eastAsia="Arial"/>
          <w:color w:val="23282D"/>
          <w:sz w:val="20"/>
        </w:rPr>
        <w:t>Email Composer converts work updates and other documentation into repeatable communications.</w:t>
      </w:r>
    </w:p>
    <w:p>
      <w:pPr>
        <w:pStyle w:val="ListBullet"/>
        <w:spacing w:after="50" w:line="247" w:lineRule="auto"/>
        <w:ind w:left="403" w:hanging="202"/>
      </w:pPr>
      <w:r>
        <w:rPr>
          <w:rFonts w:ascii="Arial" w:hAnsi="Arial" w:eastAsia="Arial"/>
          <w:color w:val="23282D"/>
          <w:sz w:val="19"/>
        </w:rPr>
        <w:t>message composition and reusable templates;</w:t>
      </w:r>
    </w:p>
    <w:p>
      <w:pPr>
        <w:pStyle w:val="ListBullet"/>
        <w:spacing w:after="50" w:line="247" w:lineRule="auto"/>
        <w:ind w:left="403" w:hanging="202"/>
      </w:pPr>
      <w:r>
        <w:rPr>
          <w:rFonts w:ascii="Arial" w:hAnsi="Arial" w:eastAsia="Arial"/>
          <w:color w:val="23282D"/>
          <w:sz w:val="19"/>
        </w:rPr>
        <w:t>links to published pages and tools;</w:t>
      </w:r>
    </w:p>
    <w:p>
      <w:pPr>
        <w:pStyle w:val="ListBullet"/>
        <w:spacing w:after="50" w:line="247" w:lineRule="auto"/>
        <w:ind w:left="403" w:hanging="202"/>
      </w:pPr>
      <w:r>
        <w:rPr>
          <w:rFonts w:ascii="Arial" w:hAnsi="Arial" w:eastAsia="Arial"/>
          <w:color w:val="23282D"/>
          <w:sz w:val="19"/>
        </w:rPr>
        <w:t>images and formatted update content;</w:t>
      </w:r>
    </w:p>
    <w:p>
      <w:pPr>
        <w:pStyle w:val="ListBullet"/>
        <w:spacing w:after="50" w:line="247" w:lineRule="auto"/>
        <w:ind w:left="403" w:hanging="202"/>
      </w:pPr>
      <w:r>
        <w:rPr>
          <w:rFonts w:ascii="Arial" w:hAnsi="Arial" w:eastAsia="Arial"/>
          <w:color w:val="23282D"/>
          <w:sz w:val="19"/>
        </w:rPr>
        <w:t>recipient information and contact structure;</w:t>
      </w:r>
    </w:p>
    <w:p>
      <w:pPr>
        <w:pStyle w:val="ListBullet"/>
        <w:spacing w:after="50" w:line="247" w:lineRule="auto"/>
        <w:ind w:left="403" w:hanging="202"/>
      </w:pPr>
      <w:r>
        <w:rPr>
          <w:rFonts w:ascii="Arial" w:hAnsi="Arial" w:eastAsia="Arial"/>
          <w:color w:val="23282D"/>
          <w:sz w:val="19"/>
        </w:rPr>
        <w:t>consistent presentation across recurring communications.</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A documented change does not automatically reach anyone. It has to be transformed into a readable message, checked, formatted, and sent through another application.</w:t>
      </w:r>
    </w:p>
    <w:p>
      <w:pPr>
        <w:pStyle w:val="Heading2"/>
        <w:keepNext/>
        <w:spacing w:before="200" w:after="80"/>
      </w:pPr>
      <w:r>
        <w:rPr>
          <w:rFonts w:ascii="Arial" w:hAnsi="Arial" w:eastAsia="Arial"/>
          <w:b/>
          <w:color w:val="E0A92F"/>
          <w:sz w:val="26"/>
        </w:rPr>
        <w:t xml:space="preserve">18. </w:t>
      </w:r>
      <w:r>
        <w:rPr>
          <w:rFonts w:ascii="Arial" w:hAnsi="Arial" w:eastAsia="Arial"/>
          <w:b/>
          <w:color w:val="17324D"/>
          <w:sz w:val="26"/>
        </w:rPr>
        <w:t>Mobile internet dependency</w:t>
      </w:r>
    </w:p>
    <w:p>
      <w:pPr>
        <w:spacing w:after="100" w:line="259" w:lineRule="auto"/>
      </w:pPr>
      <w:r>
        <w:rPr>
          <w:rFonts w:ascii="Arial" w:hAnsi="Arial" w:eastAsia="Arial"/>
          <w:color w:val="23282D"/>
          <w:sz w:val="20"/>
        </w:rPr>
        <w:t>The development environment depends on mobile internet access for ChatGPT, GitHub, Google services, deployment interfaces, documentation, and testing.</w:t>
      </w:r>
    </w:p>
    <w:tbl>
      <w:tblPr>
        <w:tblW w:type="auto" w:w="0"/>
        <w:jc w:val="center"/>
        <w:tblLayout w:type="autofit"/>
        <w:tblLook w:firstColumn="1" w:firstRow="1" w:lastColumn="0" w:lastRow="0" w:noHBand="0" w:noVBand="1" w:val="04A0"/>
      </w:tblPr>
      <w:tblGrid>
        <w:gridCol w:w="9994"/>
      </w:tblGrid>
      <w:tr>
        <w:tc>
          <w:tcPr>
            <w:tcW w:type="dxa" w:w="9994"/>
            <w:shd w:fill="FFF4D6"/>
            <w:tcBorders>
              <w:top w:val="nil"/>
              <w:left w:val="single" w:sz="16" w:color="E0A92F"/>
              <w:bottom w:val="nil"/>
              <w:right w:val="nil"/>
            </w:tcBorders>
            <w:vAlign w:val="center"/>
          </w:tcPr>
          <w:p>
            <w:pPr>
              <w:spacing w:after="60"/>
            </w:pPr>
            <w:r>
              <w:rPr>
                <w:rFonts w:ascii="Arial" w:hAnsi="Arial" w:eastAsia="Arial"/>
                <w:b/>
                <w:color w:val="17324D"/>
                <w:sz w:val="20"/>
              </w:rPr>
              <w:t>Direct operating cost</w:t>
            </w:r>
          </w:p>
          <w:p>
            <w:pPr>
              <w:spacing w:after="0" w:line="254" w:lineRule="auto"/>
            </w:pPr>
            <w:r>
              <w:rPr>
                <w:rFonts w:ascii="Arial" w:hAnsi="Arial" w:eastAsia="Arial"/>
                <w:color w:val="23282D"/>
                <w:sz w:val="19"/>
              </w:rPr>
              <w:t>Approximately $10 in mobile internet access for every 16 hours of development work.</w:t>
            </w:r>
          </w:p>
        </w:tc>
      </w:tr>
    </w:tbl>
    <w:p>
      <w:pPr>
        <w:spacing w:after="0"/>
      </w:pPr>
    </w:p>
    <w:p>
      <w:pPr>
        <w:pStyle w:val="Heading1"/>
        <w:spacing w:before="320" w:after="40"/>
        <w:keepNext/>
      </w:pPr>
      <w:r>
        <w:rPr>
          <w:rFonts w:ascii="Arial" w:hAnsi="Arial" w:eastAsia="Arial"/>
          <w:b/>
          <w:color w:val="17324D"/>
          <w:sz w:val="34"/>
        </w:rPr>
        <w:t>Layer V — Human operations, cost, and organizational conditions</w:t>
      </w:r>
    </w:p>
    <w:p>
      <w:pPr>
        <w:spacing w:after="160"/>
        <w:keepNext/>
      </w:pPr>
      <w:r>
        <w:rPr>
          <w:rFonts w:ascii="Arial" w:hAnsi="Arial" w:eastAsia="Arial"/>
          <w:i/>
          <w:color w:val="5C6874"/>
          <w:sz w:val="19"/>
        </w:rPr>
        <w:t>The system is sustained by one person performing the roles that would normally be distributed across a team.</w:t>
      </w:r>
    </w:p>
    <w:p>
      <w:pPr>
        <w:pStyle w:val="Heading2"/>
        <w:keepNext/>
        <w:spacing w:before="200" w:after="80"/>
      </w:pPr>
      <w:r>
        <w:rPr>
          <w:rFonts w:ascii="Arial" w:hAnsi="Arial" w:eastAsia="Arial"/>
          <w:b/>
          <w:color w:val="E0A92F"/>
          <w:sz w:val="26"/>
        </w:rPr>
        <w:t xml:space="preserve">19. </w:t>
      </w:r>
      <w:r>
        <w:rPr>
          <w:rFonts w:ascii="Arial" w:hAnsi="Arial" w:eastAsia="Arial"/>
          <w:b/>
          <w:color w:val="17324D"/>
          <w:sz w:val="26"/>
        </w:rPr>
        <w:t>Sole architect and operator</w:t>
      </w:r>
    </w:p>
    <w:p>
      <w:pPr>
        <w:spacing w:after="100" w:line="259" w:lineRule="auto"/>
      </w:pPr>
      <w:r>
        <w:rPr>
          <w:rFonts w:ascii="Arial" w:hAnsi="Arial" w:eastAsia="Arial"/>
          <w:color w:val="23282D"/>
          <w:sz w:val="20"/>
        </w:rPr>
        <w:t>The tool suite has one primary architect and operator. The same person must preserve the vision, make design choices, perform the development work, test the result, document the decisions, and keep the system available.</w:t>
      </w:r>
    </w:p>
    <w:tbl>
      <w:tblPr>
        <w:tblW w:type="auto" w:w="0"/>
        <w:jc w:val="center"/>
        <w:tblLayout w:type="autofit"/>
        <w:tblLook w:firstColumn="1" w:firstRow="1" w:lastColumn="0" w:lastRow="0" w:noHBand="0" w:noVBand="1" w:val="04A0"/>
      </w:tblPr>
      <w:tblGrid>
        <w:gridCol w:w="3331"/>
        <w:gridCol w:w="3331"/>
        <w:gridCol w:w="3331"/>
      </w:tblGrid>
      <w:tr>
        <w:tc>
          <w:tcPr>
            <w:tcW w:type="dxa" w:w="3331"/>
            <w:shd w:fill="265B87"/>
          </w:tcPr>
          <w:p>
            <w:pPr>
              <w:jc w:val="center"/>
            </w:pPr>
            <w:r>
              <w:rPr>
                <w:rFonts w:ascii="Arial" w:hAnsi="Arial" w:eastAsia="Arial"/>
                <w:b/>
                <w:color w:val="FFFFFF"/>
                <w:sz w:val="18"/>
              </w:rPr>
              <w:t>Design and build</w:t>
            </w:r>
          </w:p>
        </w:tc>
        <w:tc>
          <w:tcPr>
            <w:tcW w:type="dxa" w:w="3331"/>
            <w:shd w:fill="265B87"/>
          </w:tcPr>
          <w:p>
            <w:pPr>
              <w:jc w:val="center"/>
            </w:pPr>
            <w:r>
              <w:rPr>
                <w:rFonts w:ascii="Arial" w:hAnsi="Arial" w:eastAsia="Arial"/>
                <w:b/>
                <w:color w:val="FFFFFF"/>
                <w:sz w:val="18"/>
              </w:rPr>
              <w:t>Operate and verify</w:t>
            </w:r>
          </w:p>
        </w:tc>
        <w:tc>
          <w:tcPr>
            <w:tcW w:type="dxa" w:w="3331"/>
            <w:shd w:fill="265B87"/>
          </w:tcPr>
          <w:p>
            <w:pPr>
              <w:jc w:val="center"/>
            </w:pPr>
            <w:r>
              <w:rPr>
                <w:rFonts w:ascii="Arial" w:hAnsi="Arial" w:eastAsia="Arial"/>
                <w:b/>
                <w:color w:val="FFFFFF"/>
                <w:sz w:val="18"/>
              </w:rPr>
              <w:t>Explain and preserve</w:t>
            </w:r>
          </w:p>
        </w:tc>
      </w:tr>
      <w:tr>
        <w:tc>
          <w:tcPr>
            <w:tcW w:type="dxa" w:w="3331"/>
            <w:shd w:fill="F3F5F7"/>
          </w:tcPr>
          <w:p>
            <w:pPr>
              <w:spacing w:after="20"/>
              <w:jc w:val="center"/>
            </w:pPr>
            <w:r>
              <w:rPr>
                <w:rFonts w:ascii="Arial" w:hAnsi="Arial" w:eastAsia="Arial"/>
                <w:color w:val="23282D"/>
                <w:sz w:val="17"/>
              </w:rPr>
              <w:t>requirements analyst</w:t>
            </w:r>
          </w:p>
        </w:tc>
        <w:tc>
          <w:tcPr>
            <w:tcW w:type="dxa" w:w="3331"/>
            <w:shd w:fill="F3F5F7"/>
          </w:tcPr>
          <w:p>
            <w:pPr>
              <w:spacing w:after="20"/>
              <w:jc w:val="center"/>
            </w:pPr>
            <w:r>
              <w:rPr>
                <w:rFonts w:ascii="Arial" w:hAnsi="Arial" w:eastAsia="Arial"/>
                <w:color w:val="23282D"/>
                <w:sz w:val="17"/>
              </w:rPr>
              <w:t>tester</w:t>
            </w:r>
          </w:p>
        </w:tc>
        <w:tc>
          <w:tcPr>
            <w:tcW w:type="dxa" w:w="3331"/>
            <w:shd w:fill="F3F5F7"/>
          </w:tcPr>
          <w:p>
            <w:pPr>
              <w:spacing w:after="20"/>
              <w:jc w:val="center"/>
            </w:pPr>
            <w:r>
              <w:rPr>
                <w:rFonts w:ascii="Arial" w:hAnsi="Arial" w:eastAsia="Arial"/>
                <w:color w:val="23282D"/>
                <w:sz w:val="17"/>
              </w:rPr>
              <w:t>communicator</w:t>
            </w:r>
          </w:p>
        </w:tc>
      </w:tr>
      <w:tr>
        <w:tc>
          <w:tcPr>
            <w:tcW w:type="dxa" w:w="3331"/>
          </w:tcPr>
          <w:p>
            <w:pPr>
              <w:spacing w:after="20"/>
              <w:jc w:val="center"/>
            </w:pPr>
            <w:r>
              <w:rPr>
                <w:rFonts w:ascii="Arial" w:hAnsi="Arial" w:eastAsia="Arial"/>
                <w:color w:val="23282D"/>
                <w:sz w:val="17"/>
              </w:rPr>
              <w:t>system designer</w:t>
            </w:r>
          </w:p>
        </w:tc>
        <w:tc>
          <w:tcPr>
            <w:tcW w:type="dxa" w:w="3331"/>
          </w:tcPr>
          <w:p>
            <w:pPr>
              <w:spacing w:after="20"/>
              <w:jc w:val="center"/>
            </w:pPr>
            <w:r>
              <w:rPr>
                <w:rFonts w:ascii="Arial" w:hAnsi="Arial" w:eastAsia="Arial"/>
                <w:color w:val="23282D"/>
                <w:sz w:val="17"/>
              </w:rPr>
              <w:t>deployment operator</w:t>
            </w:r>
          </w:p>
        </w:tc>
        <w:tc>
          <w:tcPr>
            <w:tcW w:type="dxa" w:w="3331"/>
          </w:tcPr>
          <w:p>
            <w:pPr>
              <w:spacing w:after="20"/>
              <w:jc w:val="center"/>
            </w:pPr>
            <w:r>
              <w:rPr>
                <w:rFonts w:ascii="Arial" w:hAnsi="Arial" w:eastAsia="Arial"/>
                <w:color w:val="23282D"/>
                <w:sz w:val="17"/>
              </w:rPr>
              <w:t>repository manager</w:t>
            </w:r>
          </w:p>
        </w:tc>
      </w:tr>
      <w:tr>
        <w:tc>
          <w:tcPr>
            <w:tcW w:type="dxa" w:w="3331"/>
            <w:shd w:fill="F3F5F7"/>
          </w:tcPr>
          <w:p>
            <w:pPr>
              <w:spacing w:after="20"/>
              <w:jc w:val="center"/>
            </w:pPr>
            <w:r>
              <w:rPr>
                <w:rFonts w:ascii="Arial" w:hAnsi="Arial" w:eastAsia="Arial"/>
                <w:color w:val="23282D"/>
                <w:sz w:val="17"/>
              </w:rPr>
              <w:t>data modeler</w:t>
            </w:r>
          </w:p>
        </w:tc>
        <w:tc>
          <w:tcPr>
            <w:tcW w:type="dxa" w:w="3331"/>
            <w:shd w:fill="F3F5F7"/>
          </w:tcPr>
          <w:p>
            <w:pPr>
              <w:spacing w:after="20"/>
              <w:jc w:val="center"/>
            </w:pPr>
            <w:r>
              <w:rPr>
                <w:rFonts w:ascii="Arial" w:hAnsi="Arial" w:eastAsia="Arial"/>
                <w:color w:val="23282D"/>
                <w:sz w:val="17"/>
              </w:rPr>
              <w:t>documentarian</w:t>
            </w:r>
          </w:p>
        </w:tc>
        <w:tc>
          <w:tcPr>
            <w:tcW w:type="dxa" w:w="3331"/>
            <w:shd w:fill="F3F5F7"/>
          </w:tcPr>
          <w:p>
            <w:pPr>
              <w:spacing w:after="20"/>
              <w:jc w:val="center"/>
            </w:pPr>
            <w:r>
              <w:rPr>
                <w:rFonts w:ascii="Arial" w:hAnsi="Arial" w:eastAsia="Arial"/>
                <w:color w:val="23282D"/>
                <w:sz w:val="17"/>
              </w:rPr>
              <w:t>application administrator</w:t>
            </w:r>
          </w:p>
        </w:tc>
      </w:tr>
      <w:tr>
        <w:tc>
          <w:tcPr>
            <w:tcW w:type="dxa" w:w="3331"/>
          </w:tcPr>
          <w:p>
            <w:pPr>
              <w:spacing w:after="20"/>
              <w:jc w:val="center"/>
            </w:pPr>
            <w:r>
              <w:rPr>
                <w:rFonts w:ascii="Arial" w:hAnsi="Arial" w:eastAsia="Arial"/>
                <w:color w:val="23282D"/>
                <w:sz w:val="17"/>
              </w:rPr>
              <w:t>developer</w:t>
            </w:r>
          </w:p>
        </w:tc>
        <w:tc>
          <w:tcPr>
            <w:tcW w:type="dxa" w:w="3331"/>
          </w:tcPr>
          <w:p>
            <w:pPr>
              <w:spacing w:after="20"/>
              <w:jc w:val="center"/>
            </w:pPr>
            <w:r>
              <w:rPr>
                <w:rFonts w:ascii="Arial" w:hAnsi="Arial" w:eastAsia="Arial"/>
                <w:color w:val="23282D"/>
                <w:sz w:val="17"/>
              </w:rPr>
              <w:t>trainer</w:t>
            </w:r>
          </w:p>
        </w:tc>
        <w:tc>
          <w:tcPr>
            <w:tcW w:type="dxa" w:w="3331"/>
          </w:tcPr>
          <w:p>
            <w:pPr>
              <w:spacing w:after="20"/>
              <w:jc w:val="center"/>
            </w:pPr>
            <w:r>
              <w:rPr>
                <w:rFonts w:ascii="Arial" w:hAnsi="Arial" w:eastAsia="Arial"/>
                <w:color w:val="23282D"/>
                <w:sz w:val="17"/>
              </w:rPr>
              <w:t>end user</w:t>
            </w:r>
          </w:p>
        </w:tc>
      </w:tr>
      <w:tr>
        <w:tc>
          <w:tcPr>
            <w:tcW w:type="dxa" w:w="3331"/>
            <w:shd w:fill="F3F5F7"/>
          </w:tcPr>
          <w:p>
            <w:pPr>
              <w:spacing w:after="20"/>
              <w:jc w:val="center"/>
            </w:pPr>
            <w:r>
              <w:rPr>
                <w:rFonts w:ascii="Arial" w:hAnsi="Arial" w:eastAsia="Arial"/>
                <w:color w:val="23282D"/>
                <w:sz w:val="17"/>
              </w:rPr>
              <w:t>human editor and integrator</w:t>
            </w:r>
          </w:p>
        </w:tc>
        <w:tc>
          <w:tcPr>
            <w:tcW w:type="dxa" w:w="3331"/>
            <w:shd w:fill="F3F5F7"/>
          </w:tcPr>
          <w:p>
            <w:pPr>
              <w:spacing w:after="20"/>
              <w:jc w:val="center"/>
            </w:pPr>
            <w:r>
              <w:rPr>
                <w:rFonts w:ascii="Arial" w:hAnsi="Arial" w:eastAsia="Arial"/>
                <w:color w:val="23282D"/>
                <w:sz w:val="17"/>
              </w:rPr>
            </w:r>
          </w:p>
        </w:tc>
        <w:tc>
          <w:tcPr>
            <w:tcW w:type="dxa" w:w="3331"/>
            <w:shd w:fill="F3F5F7"/>
          </w:tcPr>
          <w:p>
            <w:pPr>
              <w:spacing w:after="20"/>
              <w:jc w:val="center"/>
            </w:pPr>
            <w:r>
              <w:rPr>
                <w:rFonts w:ascii="Arial" w:hAnsi="Arial" w:eastAsia="Arial"/>
                <w:color w:val="23282D"/>
                <w:sz w:val="17"/>
              </w:rPr>
            </w:r>
          </w:p>
        </w:tc>
      </w:tr>
    </w:tbl>
    <w:p>
      <w:pPr>
        <w:spacing w:after="0"/>
      </w:pPr>
    </w:p>
    <w:p>
      <w:pPr>
        <w:pStyle w:val="Heading2"/>
        <w:keepNext/>
        <w:spacing w:before="200" w:after="80"/>
      </w:pPr>
      <w:r>
        <w:rPr>
          <w:rFonts w:ascii="Arial" w:hAnsi="Arial" w:eastAsia="Arial"/>
          <w:b/>
          <w:color w:val="E0A92F"/>
          <w:sz w:val="26"/>
        </w:rPr>
        <w:t xml:space="preserve">20. </w:t>
      </w:r>
      <w:r>
        <w:rPr>
          <w:rFonts w:ascii="Arial" w:hAnsi="Arial" w:eastAsia="Arial"/>
          <w:b/>
          <w:color w:val="17324D"/>
          <w:sz w:val="26"/>
        </w:rPr>
        <w:t>Solitude and lack of participation</w:t>
      </w:r>
    </w:p>
    <w:p>
      <w:pPr>
        <w:spacing w:after="100" w:line="259" w:lineRule="auto"/>
      </w:pPr>
      <w:r>
        <w:rPr>
          <w:rFonts w:ascii="Arial" w:hAnsi="Arial" w:eastAsia="Arial"/>
          <w:color w:val="23282D"/>
          <w:sz w:val="20"/>
        </w:rPr>
        <w:t>There is no normal collaborative development structure around the tools.</w:t>
      </w:r>
    </w:p>
    <w:p>
      <w:pPr>
        <w:pStyle w:val="ListBullet"/>
        <w:spacing w:after="50" w:line="247" w:lineRule="auto"/>
        <w:ind w:left="403" w:hanging="202"/>
      </w:pPr>
      <w:r>
        <w:rPr>
          <w:rFonts w:ascii="Arial" w:hAnsi="Arial" w:eastAsia="Arial"/>
          <w:color w:val="23282D"/>
          <w:sz w:val="19"/>
        </w:rPr>
        <w:t>no development team or shared ownership;</w:t>
      </w:r>
    </w:p>
    <w:p>
      <w:pPr>
        <w:pStyle w:val="ListBullet"/>
        <w:spacing w:after="50" w:line="247" w:lineRule="auto"/>
        <w:ind w:left="403" w:hanging="202"/>
      </w:pPr>
      <w:r>
        <w:rPr>
          <w:rFonts w:ascii="Arial" w:hAnsi="Arial" w:eastAsia="Arial"/>
          <w:color w:val="23282D"/>
          <w:sz w:val="19"/>
        </w:rPr>
        <w:t>no regular meetings or design review;</w:t>
      </w:r>
    </w:p>
    <w:p>
      <w:pPr>
        <w:pStyle w:val="ListBullet"/>
        <w:spacing w:after="50" w:line="247" w:lineRule="auto"/>
        <w:ind w:left="403" w:hanging="202"/>
      </w:pPr>
      <w:r>
        <w:rPr>
          <w:rFonts w:ascii="Arial" w:hAnsi="Arial" w:eastAsia="Arial"/>
          <w:color w:val="23282D"/>
          <w:sz w:val="19"/>
        </w:rPr>
        <w:t>no independent testing by another participant;</w:t>
      </w:r>
    </w:p>
    <w:p>
      <w:pPr>
        <w:pStyle w:val="ListBullet"/>
        <w:spacing w:after="50" w:line="247" w:lineRule="auto"/>
        <w:ind w:left="403" w:hanging="202"/>
      </w:pPr>
      <w:r>
        <w:rPr>
          <w:rFonts w:ascii="Arial" w:hAnsi="Arial" w:eastAsia="Arial"/>
          <w:color w:val="23282D"/>
          <w:sz w:val="19"/>
        </w:rPr>
        <w:t>no routine replies to the work-update emails;</w:t>
      </w:r>
    </w:p>
    <w:p>
      <w:pPr>
        <w:pStyle w:val="ListBullet"/>
        <w:spacing w:after="50" w:line="247" w:lineRule="auto"/>
        <w:ind w:left="403" w:hanging="202"/>
      </w:pPr>
      <w:r>
        <w:rPr>
          <w:rFonts w:ascii="Arial" w:hAnsi="Arial" w:eastAsia="Arial"/>
          <w:color w:val="23282D"/>
          <w:sz w:val="19"/>
        </w:rPr>
        <w:t>little attention when the tools are demonstrated;</w:t>
      </w:r>
    </w:p>
    <w:p>
      <w:pPr>
        <w:pStyle w:val="ListBullet"/>
        <w:spacing w:after="50" w:line="247" w:lineRule="auto"/>
        <w:ind w:left="403" w:hanging="202"/>
      </w:pPr>
      <w:r>
        <w:rPr>
          <w:rFonts w:ascii="Arial" w:hAnsi="Arial" w:eastAsia="Arial"/>
          <w:color w:val="23282D"/>
          <w:sz w:val="19"/>
        </w:rPr>
        <w:t>no separate person preserving context, checking assumptions, or maintaining one component.</w:t>
      </w:r>
    </w:p>
    <w:p>
      <w:pPr>
        <w:spacing w:after="80" w:line="254" w:lineRule="auto"/>
      </w:pPr>
      <w:r>
        <w:rPr>
          <w:rFonts w:ascii="Arial" w:hAnsi="Arial" w:eastAsia="Arial"/>
          <w:b/>
          <w:color w:val="265B87"/>
          <w:sz w:val="19"/>
        </w:rPr>
        <w:t xml:space="preserve">Operational consequence: </w:t>
      </w:r>
      <w:r>
        <w:rPr>
          <w:rFonts w:ascii="Arial" w:hAnsi="Arial" w:eastAsia="Arial"/>
          <w:color w:val="23282D"/>
          <w:sz w:val="19"/>
        </w:rPr>
        <w:t>Requirements, architecture, implementation, testing, documentation, communication, and continuity all remain concentrated in one person.</w:t>
      </w:r>
    </w:p>
    <w:p>
      <w:pPr>
        <w:pStyle w:val="Heading2"/>
        <w:keepNext/>
        <w:spacing w:before="200" w:after="80"/>
      </w:pPr>
      <w:r>
        <w:rPr>
          <w:rFonts w:ascii="Arial" w:hAnsi="Arial" w:eastAsia="Arial"/>
          <w:b/>
          <w:color w:val="E0A92F"/>
          <w:sz w:val="26"/>
        </w:rPr>
        <w:t xml:space="preserve">21. </w:t>
      </w:r>
      <w:r>
        <w:rPr>
          <w:rFonts w:ascii="Arial" w:hAnsi="Arial" w:eastAsia="Arial"/>
          <w:b/>
          <w:color w:val="17324D"/>
          <w:sz w:val="26"/>
        </w:rPr>
        <w:t>Documentation and communication labor</w:t>
      </w:r>
    </w:p>
    <w:p>
      <w:pPr>
        <w:spacing w:after="100" w:line="259" w:lineRule="auto"/>
      </w:pPr>
      <w:r>
        <w:rPr>
          <w:rFonts w:ascii="Arial" w:hAnsi="Arial" w:eastAsia="Arial"/>
          <w:color w:val="23282D"/>
          <w:sz w:val="20"/>
        </w:rPr>
        <w:t>Hours are spent documenting other people, preserving their work context, and trying to keep intended readers informed, even when there is no response.</w:t>
      </w:r>
    </w:p>
    <w:p>
      <w:pPr>
        <w:pStyle w:val="ListBullet"/>
        <w:spacing w:after="50" w:line="247" w:lineRule="auto"/>
        <w:ind w:left="403" w:hanging="202"/>
      </w:pPr>
      <w:r>
        <w:rPr>
          <w:rFonts w:ascii="Arial" w:hAnsi="Arial" w:eastAsia="Arial"/>
          <w:color w:val="23282D"/>
          <w:sz w:val="19"/>
        </w:rPr>
        <w:t>writing supervisor-oriented summaries;</w:t>
      </w:r>
    </w:p>
    <w:p>
      <w:pPr>
        <w:pStyle w:val="ListBullet"/>
        <w:spacing w:after="50" w:line="247" w:lineRule="auto"/>
        <w:ind w:left="403" w:hanging="202"/>
      </w:pPr>
      <w:r>
        <w:rPr>
          <w:rFonts w:ascii="Arial" w:hAnsi="Arial" w:eastAsia="Arial"/>
          <w:color w:val="23282D"/>
          <w:sz w:val="19"/>
        </w:rPr>
        <w:t>creating work-update pages and emails;</w:t>
      </w:r>
    </w:p>
    <w:p>
      <w:pPr>
        <w:pStyle w:val="ListBullet"/>
        <w:spacing w:after="50" w:line="247" w:lineRule="auto"/>
        <w:ind w:left="403" w:hanging="202"/>
      </w:pPr>
      <w:r>
        <w:rPr>
          <w:rFonts w:ascii="Arial" w:hAnsi="Arial" w:eastAsia="Arial"/>
          <w:color w:val="23282D"/>
          <w:sz w:val="19"/>
        </w:rPr>
        <w:t>maintaining documentation indexes and links;</w:t>
      </w:r>
    </w:p>
    <w:p>
      <w:pPr>
        <w:pStyle w:val="ListBullet"/>
        <w:spacing w:after="50" w:line="247" w:lineRule="auto"/>
        <w:ind w:left="403" w:hanging="202"/>
      </w:pPr>
      <w:r>
        <w:rPr>
          <w:rFonts w:ascii="Arial" w:hAnsi="Arial" w:eastAsia="Arial"/>
          <w:color w:val="23282D"/>
          <w:sz w:val="19"/>
        </w:rPr>
        <w:t>organizing access points so others do not have to find them;</w:t>
      </w:r>
    </w:p>
    <w:p>
      <w:pPr>
        <w:pStyle w:val="ListBullet"/>
        <w:spacing w:after="50" w:line="247" w:lineRule="auto"/>
        <w:ind w:left="403" w:hanging="202"/>
      </w:pPr>
      <w:r>
        <w:rPr>
          <w:rFonts w:ascii="Arial" w:hAnsi="Arial" w:eastAsia="Arial"/>
          <w:color w:val="23282D"/>
          <w:sz w:val="19"/>
        </w:rPr>
        <w:t>recording work that other participants did not document themselves;</w:t>
      </w:r>
    </w:p>
    <w:p>
      <w:pPr>
        <w:pStyle w:val="ListBullet"/>
        <w:spacing w:after="50" w:line="247" w:lineRule="auto"/>
        <w:ind w:left="403" w:hanging="202"/>
      </w:pPr>
      <w:r>
        <w:rPr>
          <w:rFonts w:ascii="Arial" w:hAnsi="Arial" w:eastAsia="Arial"/>
          <w:color w:val="23282D"/>
          <w:sz w:val="19"/>
        </w:rPr>
        <w:t>explaining the meaning of technical changes in operational language.</w:t>
      </w:r>
    </w:p>
    <w:p>
      <w:pPr>
        <w:spacing w:after="80" w:line="254" w:lineRule="auto"/>
      </w:pPr>
      <w:r>
        <w:rPr>
          <w:rFonts w:ascii="Arial" w:hAnsi="Arial" w:eastAsia="Arial"/>
          <w:b/>
          <w:color w:val="265B87"/>
          <w:sz w:val="19"/>
        </w:rPr>
        <w:t xml:space="preserve">Why it matters: </w:t>
      </w:r>
      <w:r>
        <w:rPr>
          <w:rFonts w:ascii="Arial" w:hAnsi="Arial" w:eastAsia="Arial"/>
          <w:color w:val="23282D"/>
          <w:sz w:val="19"/>
        </w:rPr>
        <w:t>This is not peripheral presentation work. It is part of keeping the environment understandable, recoverable, and usable.</w:t>
      </w:r>
    </w:p>
    <w:p>
      <w:pPr>
        <w:pStyle w:val="Heading2"/>
        <w:keepNext/>
        <w:spacing w:before="200" w:after="80"/>
      </w:pPr>
      <w:r>
        <w:rPr>
          <w:rFonts w:ascii="Arial" w:hAnsi="Arial" w:eastAsia="Arial"/>
          <w:b/>
          <w:color w:val="E0A92F"/>
          <w:sz w:val="26"/>
        </w:rPr>
        <w:t xml:space="preserve">22. </w:t>
      </w:r>
      <w:r>
        <w:rPr>
          <w:rFonts w:ascii="Arial" w:hAnsi="Arial" w:eastAsia="Arial"/>
          <w:b/>
          <w:color w:val="17324D"/>
          <w:sz w:val="26"/>
        </w:rPr>
        <w:t>The visible result conceals the real work</w:t>
      </w:r>
    </w:p>
    <w:p>
      <w:pPr>
        <w:spacing w:after="100" w:line="259" w:lineRule="auto"/>
      </w:pPr>
      <w:r>
        <w:rPr>
          <w:rFonts w:ascii="Arial" w:hAnsi="Arial" w:eastAsia="Arial"/>
          <w:color w:val="23282D"/>
          <w:sz w:val="20"/>
        </w:rPr>
        <w:t>A viewer may see a single application screen and interpret it as an image generated by AI. That view excludes the architecture, data design, file management, debugging, testing, version control, deployment, documentation, and operational judgment required to make the screen represent a working system.</w:t>
      </w:r>
    </w:p>
    <w:tbl>
      <w:tblPr>
        <w:tblW w:type="auto" w:w="0"/>
        <w:jc w:val="center"/>
        <w:tblLayout w:type="autofit"/>
        <w:tblLook w:firstColumn="1" w:firstRow="1" w:lastColumn="0" w:lastRow="0" w:noHBand="0" w:noVBand="1" w:val="04A0"/>
      </w:tblPr>
      <w:tblGrid>
        <w:gridCol w:w="9994"/>
      </w:tblGrid>
      <w:tr>
        <w:tc>
          <w:tcPr>
            <w:tcW w:type="dxa" w:w="9994"/>
            <w:shd w:fill="EAF2F8"/>
            <w:tcBorders>
              <w:top w:val="nil"/>
              <w:left w:val="single" w:sz="16" w:color="265B87"/>
              <w:bottom w:val="nil"/>
              <w:right w:val="nil"/>
            </w:tcBorders>
            <w:vAlign w:val="center"/>
          </w:tcPr>
          <w:p>
            <w:pPr>
              <w:spacing w:after="60"/>
            </w:pPr>
            <w:r>
              <w:rPr>
                <w:rFonts w:ascii="Arial" w:hAnsi="Arial" w:eastAsia="Arial"/>
                <w:b/>
                <w:color w:val="17324D"/>
                <w:sz w:val="20"/>
              </w:rPr>
              <w:t>A more accurate description</w:t>
            </w:r>
          </w:p>
          <w:p>
            <w:pPr>
              <w:spacing w:after="0" w:line="254" w:lineRule="auto"/>
            </w:pPr>
            <w:r>
              <w:rPr>
                <w:rFonts w:ascii="Arial" w:hAnsi="Arial" w:eastAsia="Arial"/>
                <w:color w:val="23282D"/>
                <w:sz w:val="19"/>
              </w:rPr>
              <w:t>The Work Queue and related tools are human-designed, AI-assisted systems. AI contributes code and analysis. The human operator supplies the architecture, continuity, integration, verification, and responsibility for the result.</w:t>
            </w:r>
          </w:p>
        </w:tc>
      </w:tr>
    </w:tbl>
    <w:p>
      <w:pPr>
        <w:spacing w:after="0"/>
      </w:pPr>
    </w:p>
    <w:p>
      <w:pPr>
        <w:pStyle w:val="Heading1"/>
        <w:spacing w:before="320" w:after="40"/>
        <w:keepNext/>
      </w:pPr>
      <w:r>
        <w:rPr>
          <w:rFonts w:ascii="Arial" w:hAnsi="Arial" w:eastAsia="Arial"/>
          <w:b/>
          <w:color w:val="17324D"/>
          <w:sz w:val="34"/>
        </w:rPr>
        <w:t>Conclusion — Why no single prompt creates the ecosystem</w:t>
      </w:r>
    </w:p>
    <w:p>
      <w:pPr>
        <w:spacing w:after="160"/>
        <w:keepNext/>
      </w:pPr>
      <w:r>
        <w:rPr>
          <w:rFonts w:ascii="Arial" w:hAnsi="Arial" w:eastAsia="Arial"/>
          <w:i/>
          <w:color w:val="5C6874"/>
          <w:sz w:val="19"/>
        </w:rPr>
        <w:t>The system exists because many separate components have been deliberately assembled and continually reconciled.</w:t>
      </w:r>
    </w:p>
    <w:p>
      <w:pPr>
        <w:spacing w:after="100" w:line="259" w:lineRule="auto"/>
      </w:pPr>
      <w:r>
        <w:rPr>
          <w:rFonts w:ascii="Arial" w:hAnsi="Arial" w:eastAsia="Arial"/>
          <w:color w:val="23282D"/>
          <w:sz w:val="20"/>
        </w:rPr>
        <w:t>A prompt can generate a function, a JSON object, a page, a query, or a block of code. It does not automatically perform the full body of work required to produce and sustain this environment.</w:t>
      </w:r>
    </w:p>
    <w:p>
      <w:pPr>
        <w:pStyle w:val="ListBullet"/>
        <w:spacing w:after="50" w:line="247" w:lineRule="auto"/>
        <w:ind w:left="403" w:hanging="202"/>
      </w:pPr>
      <w:r>
        <w:rPr>
          <w:rFonts w:ascii="Arial" w:hAnsi="Arial" w:eastAsia="Arial"/>
          <w:color w:val="23282D"/>
          <w:sz w:val="19"/>
        </w:rPr>
        <w:t>choose the correct system boundaries;</w:t>
      </w:r>
    </w:p>
    <w:p>
      <w:pPr>
        <w:pStyle w:val="ListBullet"/>
        <w:spacing w:after="50" w:line="247" w:lineRule="auto"/>
        <w:ind w:left="403" w:hanging="202"/>
      </w:pPr>
      <w:r>
        <w:rPr>
          <w:rFonts w:ascii="Arial" w:hAnsi="Arial" w:eastAsia="Arial"/>
          <w:color w:val="23282D"/>
          <w:sz w:val="19"/>
        </w:rPr>
        <w:t>define the operational problem and data model;</w:t>
      </w:r>
    </w:p>
    <w:p>
      <w:pPr>
        <w:pStyle w:val="ListBullet"/>
        <w:spacing w:after="50" w:line="247" w:lineRule="auto"/>
        <w:ind w:left="403" w:hanging="202"/>
      </w:pPr>
      <w:r>
        <w:rPr>
          <w:rFonts w:ascii="Arial" w:hAnsi="Arial" w:eastAsia="Arial"/>
          <w:color w:val="23282D"/>
          <w:sz w:val="19"/>
        </w:rPr>
        <w:t>connect every data source and external service;</w:t>
      </w:r>
    </w:p>
    <w:p>
      <w:pPr>
        <w:pStyle w:val="ListBullet"/>
        <w:spacing w:after="50" w:line="247" w:lineRule="auto"/>
        <w:ind w:left="403" w:hanging="202"/>
      </w:pPr>
      <w:r>
        <w:rPr>
          <w:rFonts w:ascii="Arial" w:hAnsi="Arial" w:eastAsia="Arial"/>
          <w:color w:val="23282D"/>
          <w:sz w:val="19"/>
        </w:rPr>
        <w:t>preserve identities and relationships across applications;</w:t>
      </w:r>
    </w:p>
    <w:p>
      <w:pPr>
        <w:pStyle w:val="ListBullet"/>
        <w:spacing w:after="50" w:line="247" w:lineRule="auto"/>
        <w:ind w:left="403" w:hanging="202"/>
      </w:pPr>
      <w:r>
        <w:rPr>
          <w:rFonts w:ascii="Arial" w:hAnsi="Arial" w:eastAsia="Arial"/>
          <w:color w:val="23282D"/>
          <w:sz w:val="19"/>
        </w:rPr>
        <w:t>place files in the correct repository locations;</w:t>
      </w:r>
    </w:p>
    <w:p>
      <w:pPr>
        <w:pStyle w:val="ListBullet"/>
        <w:spacing w:after="50" w:line="247" w:lineRule="auto"/>
        <w:ind w:left="403" w:hanging="202"/>
      </w:pPr>
      <w:r>
        <w:rPr>
          <w:rFonts w:ascii="Arial" w:hAnsi="Arial" w:eastAsia="Arial"/>
          <w:color w:val="23282D"/>
          <w:sz w:val="19"/>
        </w:rPr>
        <w:t>deploy applications and publish assets;</w:t>
      </w:r>
    </w:p>
    <w:p>
      <w:pPr>
        <w:pStyle w:val="ListBullet"/>
        <w:spacing w:after="50" w:line="247" w:lineRule="auto"/>
        <w:ind w:left="403" w:hanging="202"/>
      </w:pPr>
      <w:r>
        <w:rPr>
          <w:rFonts w:ascii="Arial" w:hAnsi="Arial" w:eastAsia="Arial"/>
          <w:color w:val="23282D"/>
          <w:sz w:val="19"/>
        </w:rPr>
        <w:t>maintain current paths, URLs, permissions, and filenames;</w:t>
      </w:r>
    </w:p>
    <w:p>
      <w:pPr>
        <w:pStyle w:val="ListBullet"/>
        <w:spacing w:after="50" w:line="247" w:lineRule="auto"/>
        <w:ind w:left="403" w:hanging="202"/>
      </w:pPr>
      <w:r>
        <w:rPr>
          <w:rFonts w:ascii="Arial" w:hAnsi="Arial" w:eastAsia="Arial"/>
          <w:color w:val="23282D"/>
          <w:sz w:val="19"/>
        </w:rPr>
        <w:t>define governance rules and workflow schemas;</w:t>
      </w:r>
    </w:p>
    <w:p>
      <w:pPr>
        <w:pStyle w:val="ListBullet"/>
        <w:spacing w:after="50" w:line="247" w:lineRule="auto"/>
        <w:ind w:left="403" w:hanging="202"/>
      </w:pPr>
      <w:r>
        <w:rPr>
          <w:rFonts w:ascii="Arial" w:hAnsi="Arial" w:eastAsia="Arial"/>
          <w:color w:val="23282D"/>
          <w:sz w:val="19"/>
        </w:rPr>
        <w:t>document decisions and preserve project history;</w:t>
      </w:r>
    </w:p>
    <w:p>
      <w:pPr>
        <w:pStyle w:val="ListBullet"/>
        <w:spacing w:after="50" w:line="247" w:lineRule="auto"/>
        <w:ind w:left="403" w:hanging="202"/>
      </w:pPr>
      <w:r>
        <w:rPr>
          <w:rFonts w:ascii="Arial" w:hAnsi="Arial" w:eastAsia="Arial"/>
          <w:color w:val="23282D"/>
          <w:sz w:val="19"/>
        </w:rPr>
        <w:t>test integrations and diagnose failures;</w:t>
      </w:r>
    </w:p>
    <w:p>
      <w:pPr>
        <w:pStyle w:val="ListBullet"/>
        <w:spacing w:after="50" w:line="247" w:lineRule="auto"/>
        <w:ind w:left="403" w:hanging="202"/>
      </w:pPr>
      <w:r>
        <w:rPr>
          <w:rFonts w:ascii="Arial" w:hAnsi="Arial" w:eastAsia="Arial"/>
          <w:color w:val="23282D"/>
          <w:sz w:val="19"/>
        </w:rPr>
        <w:t>manage versions and decide which artifact is authoritative;</w:t>
      </w:r>
    </w:p>
    <w:p>
      <w:pPr>
        <w:pStyle w:val="ListBullet"/>
        <w:spacing w:after="50" w:line="247" w:lineRule="auto"/>
        <w:ind w:left="403" w:hanging="202"/>
      </w:pPr>
      <w:r>
        <w:rPr>
          <w:rFonts w:ascii="Arial" w:hAnsi="Arial" w:eastAsia="Arial"/>
          <w:color w:val="23282D"/>
          <w:sz w:val="19"/>
        </w:rPr>
        <w:t>communicate changes to intended users;</w:t>
      </w:r>
    </w:p>
    <w:p>
      <w:pPr>
        <w:pStyle w:val="ListBullet"/>
        <w:spacing w:after="50" w:line="247" w:lineRule="auto"/>
        <w:ind w:left="403" w:hanging="202"/>
      </w:pPr>
      <w:r>
        <w:rPr>
          <w:rFonts w:ascii="Arial" w:hAnsi="Arial" w:eastAsia="Arial"/>
          <w:color w:val="23282D"/>
          <w:sz w:val="19"/>
        </w:rPr>
        <w:t>pay for the access infrastructure;</w:t>
      </w:r>
    </w:p>
    <w:p>
      <w:pPr>
        <w:pStyle w:val="ListBullet"/>
        <w:spacing w:after="50" w:line="247" w:lineRule="auto"/>
        <w:ind w:left="403" w:hanging="202"/>
      </w:pPr>
      <w:r>
        <w:rPr>
          <w:rFonts w:ascii="Arial" w:hAnsi="Arial" w:eastAsia="Arial"/>
          <w:color w:val="23282D"/>
          <w:sz w:val="19"/>
        </w:rPr>
        <w:t>maintain the project across weeks and months of work.</w:t>
      </w:r>
    </w:p>
    <w:tbl>
      <w:tblPr>
        <w:tblW w:type="auto" w:w="0"/>
        <w:jc w:val="center"/>
        <w:tblLayout w:type="autofit"/>
        <w:tblLook w:firstColumn="1" w:firstRow="1" w:lastColumn="0" w:lastRow="0" w:noHBand="0" w:noVBand="1" w:val="04A0"/>
      </w:tblPr>
      <w:tblGrid>
        <w:gridCol w:w="9994"/>
      </w:tblGrid>
      <w:tr>
        <w:tc>
          <w:tcPr>
            <w:tcW w:type="dxa" w:w="9994"/>
            <w:shd w:fill="FFF4D6"/>
            <w:tcBorders>
              <w:top w:val="nil"/>
              <w:left w:val="single" w:sz="16" w:color="E0A92F"/>
              <w:bottom w:val="nil"/>
              <w:right w:val="nil"/>
            </w:tcBorders>
            <w:vAlign w:val="center"/>
          </w:tcPr>
          <w:p>
            <w:pPr>
              <w:spacing w:after="60"/>
            </w:pPr>
            <w:r>
              <w:rPr>
                <w:rFonts w:ascii="Arial" w:hAnsi="Arial" w:eastAsia="Arial"/>
                <w:b/>
                <w:color w:val="17324D"/>
                <w:sz w:val="20"/>
              </w:rPr>
              <w:t>Final statement</w:t>
            </w:r>
          </w:p>
          <w:p>
            <w:pPr>
              <w:spacing w:after="0" w:line="254" w:lineRule="auto"/>
            </w:pPr>
            <w:r>
              <w:rPr>
                <w:rFonts w:ascii="Arial" w:hAnsi="Arial" w:eastAsia="Arial"/>
                <w:color w:val="23282D"/>
                <w:sz w:val="19"/>
              </w:rPr>
              <w:t>The working ecosystem is the product of sustained systems thinking and human integration work. AI can accelerate the production of individual parts, but there is no command that makes those parts become a coherent, functioning, documented, and maintainable operational environment.</w:t>
            </w:r>
          </w:p>
        </w:tc>
      </w:tr>
    </w:tbl>
    <w:p>
      <w:pPr>
        <w:spacing w:after="0"/>
      </w:pPr>
    </w:p>
    <w:p>
      <w:pPr>
        <w:spacing w:before="320" w:after="100"/>
      </w:pPr>
      <w:r>
        <w:rPr>
          <w:rFonts w:ascii="Arial" w:hAnsi="Arial" w:eastAsia="Arial"/>
          <w:b/>
          <w:color w:val="17324D"/>
          <w:sz w:val="28"/>
        </w:rPr>
        <w:t>Questions for examining each component</w:t>
      </w:r>
    </w:p>
    <w:p>
      <w:pPr>
        <w:pStyle w:val="ListNumber"/>
        <w:spacing w:after="40"/>
      </w:pPr>
      <w:r>
        <w:rPr>
          <w:rFonts w:ascii="Arial" w:hAnsi="Arial" w:eastAsia="Arial"/>
          <w:color w:val="23282D"/>
          <w:sz w:val="20"/>
        </w:rPr>
        <w:t>What information or capability does this component provide?</w:t>
      </w:r>
    </w:p>
    <w:p>
      <w:pPr>
        <w:pStyle w:val="ListNumber"/>
        <w:spacing w:after="40"/>
      </w:pPr>
      <w:r>
        <w:rPr>
          <w:rFonts w:ascii="Arial" w:hAnsi="Arial" w:eastAsia="Arial"/>
          <w:color w:val="23282D"/>
          <w:sz w:val="20"/>
        </w:rPr>
        <w:t>Which other systems depend on it?</w:t>
      </w:r>
    </w:p>
    <w:p>
      <w:pPr>
        <w:pStyle w:val="ListNumber"/>
        <w:spacing w:after="40"/>
      </w:pPr>
      <w:r>
        <w:rPr>
          <w:rFonts w:ascii="Arial" w:hAnsi="Arial" w:eastAsia="Arial"/>
          <w:color w:val="23282D"/>
          <w:sz w:val="20"/>
        </w:rPr>
        <w:t>What IDs, paths, fields, rules, or permissions must remain synchronized?</w:t>
      </w:r>
    </w:p>
    <w:p>
      <w:pPr>
        <w:pStyle w:val="ListNumber"/>
        <w:spacing w:after="40"/>
      </w:pPr>
      <w:r>
        <w:rPr>
          <w:rFonts w:ascii="Arial" w:hAnsi="Arial" w:eastAsia="Arial"/>
          <w:color w:val="23282D"/>
          <w:sz w:val="20"/>
        </w:rPr>
        <w:t>What breaks when this component changes or becomes unavailable?</w:t>
      </w:r>
    </w:p>
    <w:p>
      <w:pPr>
        <w:pStyle w:val="ListNumber"/>
        <w:spacing w:after="40"/>
      </w:pPr>
      <w:r>
        <w:rPr>
          <w:rFonts w:ascii="Arial" w:hAnsi="Arial" w:eastAsia="Arial"/>
          <w:color w:val="23282D"/>
          <w:sz w:val="20"/>
        </w:rPr>
        <w:t>What human decision or maintenance work keeps it reliable?</w:t>
      </w:r>
    </w:p>
    <w:p>
      <w:pPr>
        <w:pStyle w:val="ListNumber"/>
        <w:spacing w:after="40"/>
      </w:pPr>
      <w:r>
        <w:rPr>
          <w:rFonts w:ascii="Arial" w:hAnsi="Arial" w:eastAsia="Arial"/>
          <w:color w:val="23282D"/>
          <w:sz w:val="20"/>
        </w:rPr>
        <w:t>Could a generated code snippet replace this function, or only contribute one part of it?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5C6874"/>
        <w:sz w:val="16"/>
      </w:rPr>
      <w:t>System architecture, operations, and supporting infrastructure</w:t>
    </w:r>
  </w:p>
  <w:p>
    <w:pPr>
      <w:jc w:val="right"/>
    </w:pPr>
    <w:r>
      <w:rPr>
        <w:rFonts w:ascii="Arial" w:hAnsi="Arial" w:eastAsia="Arial"/>
        <w:color w:val="5C687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265B87"/>
        <w:sz w:val="16"/>
      </w:rPr>
      <w:t>KLINSWORK  /  WORK QUEUE ECOSYSTEM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rPr>
      <w:rFonts w:ascii="Arial" w:hAnsi="Arial"/>
      <w:b/>
      <w:color w:val="265B8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