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EA909" w14:textId="77777777" w:rsidR="00C435B1" w:rsidRDefault="00C435B1">
      <w:pPr>
        <w:rPr>
          <w:rFonts w:ascii="Arial" w:hAnsi="Arial" w:cs="Arial"/>
          <w:sz w:val="20"/>
          <w:szCs w:val="20"/>
        </w:rPr>
      </w:pPr>
      <w:r w:rsidRPr="00C435B1">
        <w:rPr>
          <w:rFonts w:ascii="Arial" w:hAnsi="Arial" w:cs="Arial"/>
          <w:sz w:val="20"/>
          <w:szCs w:val="20"/>
          <w:u w:val="single"/>
        </w:rPr>
        <w:t>Hemoglobin</w:t>
      </w:r>
      <w:r>
        <w:rPr>
          <w:rFonts w:ascii="Arial" w:hAnsi="Arial" w:cs="Arial"/>
          <w:sz w:val="20"/>
          <w:szCs w:val="20"/>
        </w:rPr>
        <w:t>: the amount of hemoglobin in whole blood.</w:t>
      </w:r>
    </w:p>
    <w:p w14:paraId="6CE794CF" w14:textId="77777777" w:rsidR="00C435B1" w:rsidRDefault="00C435B1">
      <w:pPr>
        <w:rPr>
          <w:rFonts w:ascii="Arial" w:hAnsi="Arial" w:cs="Arial"/>
          <w:sz w:val="20"/>
          <w:szCs w:val="20"/>
        </w:rPr>
      </w:pPr>
      <w:r w:rsidRPr="00C435B1">
        <w:rPr>
          <w:rFonts w:ascii="Arial" w:hAnsi="Arial" w:cs="Arial"/>
          <w:sz w:val="20"/>
          <w:szCs w:val="20"/>
          <w:u w:val="single"/>
        </w:rPr>
        <w:t>Mean cell hemoglobin concentration</w:t>
      </w:r>
      <w:r>
        <w:rPr>
          <w:rFonts w:ascii="Arial" w:hAnsi="Arial" w:cs="Arial"/>
          <w:sz w:val="20"/>
          <w:szCs w:val="20"/>
        </w:rPr>
        <w:t>:</w:t>
      </w:r>
      <w:r w:rsidRPr="00324062">
        <w:rPr>
          <w:rFonts w:ascii="Arial" w:hAnsi="Arial" w:cs="Arial"/>
          <w:color w:val="262626"/>
          <w:sz w:val="20"/>
          <w:szCs w:val="20"/>
        </w:rPr>
        <w:t xml:space="preserve"> the average concentration of hemoglobin in a given volume</w:t>
      </w:r>
      <w:r>
        <w:rPr>
          <w:rFonts w:ascii="Arial" w:hAnsi="Arial" w:cs="Arial"/>
          <w:color w:val="262626"/>
          <w:sz w:val="20"/>
          <w:szCs w:val="20"/>
        </w:rPr>
        <w:t xml:space="preserve"> of</w:t>
      </w:r>
      <w:r w:rsidRPr="00324062">
        <w:rPr>
          <w:rFonts w:ascii="Arial" w:hAnsi="Arial" w:cs="Arial"/>
          <w:color w:val="262626"/>
          <w:sz w:val="20"/>
          <w:szCs w:val="20"/>
        </w:rPr>
        <w:t xml:space="preserve"> </w:t>
      </w:r>
      <w:r>
        <w:rPr>
          <w:rFonts w:ascii="Arial" w:hAnsi="Arial" w:cs="Arial"/>
          <w:color w:val="262626"/>
          <w:sz w:val="20"/>
          <w:szCs w:val="20"/>
        </w:rPr>
        <w:t>RBC.</w:t>
      </w:r>
    </w:p>
    <w:p w14:paraId="0B44C18A" w14:textId="77777777" w:rsidR="00C435B1" w:rsidRDefault="00C435B1">
      <w:pPr>
        <w:rPr>
          <w:rFonts w:ascii="Arial" w:hAnsi="Arial" w:cs="Arial"/>
          <w:sz w:val="20"/>
          <w:szCs w:val="20"/>
        </w:rPr>
      </w:pPr>
      <w:r w:rsidRPr="00C435B1">
        <w:rPr>
          <w:rFonts w:ascii="Arial" w:hAnsi="Arial" w:cs="Arial"/>
          <w:sz w:val="20"/>
          <w:szCs w:val="20"/>
          <w:u w:val="single"/>
        </w:rPr>
        <w:t>Mean cell hemoglobin concentration</w:t>
      </w:r>
      <w:r w:rsidRPr="00C435B1">
        <w:rPr>
          <w:rFonts w:ascii="Arial" w:hAnsi="Arial" w:cs="Arial"/>
          <w:sz w:val="20"/>
          <w:szCs w:val="20"/>
        </w:rPr>
        <w:t>:</w:t>
      </w:r>
      <w:r w:rsidRPr="00324062">
        <w:rPr>
          <w:rFonts w:ascii="Arial" w:hAnsi="Arial" w:cs="Arial"/>
          <w:sz w:val="20"/>
          <w:szCs w:val="20"/>
        </w:rPr>
        <w:t xml:space="preserve"> the average volume of a red blood cell.</w:t>
      </w:r>
    </w:p>
    <w:p w14:paraId="67C173D1" w14:textId="77777777" w:rsidR="00C435B1" w:rsidRDefault="00C435B1">
      <w:pPr>
        <w:rPr>
          <w:rFonts w:ascii="Arial" w:hAnsi="Arial" w:cs="Arial"/>
          <w:sz w:val="20"/>
          <w:szCs w:val="20"/>
        </w:rPr>
      </w:pPr>
      <w:r w:rsidRPr="00C435B1">
        <w:rPr>
          <w:rFonts w:ascii="Arial" w:hAnsi="Arial" w:cs="Arial"/>
          <w:sz w:val="20"/>
          <w:szCs w:val="20"/>
          <w:u w:val="single"/>
        </w:rPr>
        <w:t>Mean corpuscular hemoglobin</w:t>
      </w:r>
      <w:r>
        <w:rPr>
          <w:rFonts w:ascii="Arial" w:hAnsi="Arial" w:cs="Arial"/>
          <w:sz w:val="20"/>
          <w:szCs w:val="20"/>
        </w:rPr>
        <w:t>:</w:t>
      </w:r>
      <w:r w:rsidRPr="00C435B1">
        <w:rPr>
          <w:rFonts w:ascii="Arial" w:hAnsi="Arial" w:cs="Arial"/>
          <w:sz w:val="20"/>
          <w:szCs w:val="20"/>
        </w:rPr>
        <w:t xml:space="preserve"> </w:t>
      </w:r>
      <w:r w:rsidRPr="00324062">
        <w:rPr>
          <w:rFonts w:ascii="Arial" w:hAnsi="Arial" w:cs="Arial"/>
          <w:sz w:val="20"/>
          <w:szCs w:val="20"/>
        </w:rPr>
        <w:t>the amount of hemoglob</w:t>
      </w:r>
      <w:r>
        <w:rPr>
          <w:rFonts w:ascii="Arial" w:hAnsi="Arial" w:cs="Arial"/>
          <w:sz w:val="20"/>
          <w:szCs w:val="20"/>
        </w:rPr>
        <w:t>in in an average red blood cell.</w:t>
      </w:r>
    </w:p>
    <w:p w14:paraId="03850AF8" w14:textId="77777777" w:rsidR="00C435B1" w:rsidRDefault="00C435B1">
      <w:pPr>
        <w:rPr>
          <w:rFonts w:ascii="Arial" w:hAnsi="Arial" w:cs="Arial"/>
          <w:sz w:val="20"/>
          <w:szCs w:val="20"/>
        </w:rPr>
      </w:pPr>
      <w:r w:rsidRPr="00C435B1">
        <w:rPr>
          <w:rFonts w:ascii="Arial" w:hAnsi="Arial" w:cs="Arial"/>
          <w:sz w:val="20"/>
          <w:szCs w:val="20"/>
          <w:u w:val="single"/>
        </w:rPr>
        <w:t>Hematocrit</w:t>
      </w:r>
      <w:r>
        <w:rPr>
          <w:rFonts w:ascii="Arial" w:hAnsi="Arial" w:cs="Arial"/>
          <w:sz w:val="20"/>
          <w:szCs w:val="20"/>
        </w:rPr>
        <w:t>: volume RBC/volume whole blood</w:t>
      </w:r>
    </w:p>
    <w:p w14:paraId="2202911B" w14:textId="77777777" w:rsidR="00C435B1" w:rsidRDefault="00C435B1">
      <w:pPr>
        <w:rPr>
          <w:rFonts w:ascii="Arial" w:hAnsi="Arial" w:cs="Arial"/>
          <w:sz w:val="20"/>
          <w:szCs w:val="20"/>
        </w:rPr>
      </w:pPr>
      <w:r w:rsidRPr="00C435B1">
        <w:rPr>
          <w:rFonts w:ascii="Arial" w:hAnsi="Arial" w:cs="Arial"/>
          <w:sz w:val="20"/>
          <w:szCs w:val="20"/>
          <w:u w:val="single"/>
        </w:rPr>
        <w:t>Red blood cell distribution width</w:t>
      </w:r>
      <w:r>
        <w:rPr>
          <w:rFonts w:ascii="Arial" w:hAnsi="Arial" w:cs="Arial"/>
          <w:sz w:val="20"/>
          <w:szCs w:val="20"/>
        </w:rPr>
        <w:t>: standard error of the cell volume/mean cell volume.</w:t>
      </w:r>
    </w:p>
    <w:p w14:paraId="57857773" w14:textId="77777777" w:rsidR="00FC71C8" w:rsidRDefault="00FC71C8">
      <w:pPr>
        <w:rPr>
          <w:rFonts w:ascii="Arial" w:hAnsi="Arial" w:cs="Arial"/>
          <w:sz w:val="20"/>
          <w:szCs w:val="20"/>
        </w:rPr>
      </w:pPr>
    </w:p>
    <w:tbl>
      <w:tblPr>
        <w:tblStyle w:val="TableGrid"/>
        <w:tblW w:w="0" w:type="auto"/>
        <w:tblLook w:val="04A0" w:firstRow="1" w:lastRow="0" w:firstColumn="1" w:lastColumn="0" w:noHBand="0" w:noVBand="1"/>
      </w:tblPr>
      <w:tblGrid>
        <w:gridCol w:w="1101"/>
        <w:gridCol w:w="9087"/>
      </w:tblGrid>
      <w:tr w:rsidR="00FC71C8" w14:paraId="258CA185" w14:textId="77777777" w:rsidTr="00FC71C8">
        <w:tc>
          <w:tcPr>
            <w:tcW w:w="1101" w:type="dxa"/>
          </w:tcPr>
          <w:p w14:paraId="36444AEC" w14:textId="77777777" w:rsidR="00FC71C8" w:rsidRDefault="00FC71C8">
            <w:pPr>
              <w:rPr>
                <w:rFonts w:ascii="Arial" w:hAnsi="Arial" w:cs="Arial"/>
                <w:sz w:val="20"/>
                <w:szCs w:val="20"/>
              </w:rPr>
            </w:pPr>
            <w:r>
              <w:rPr>
                <w:rFonts w:ascii="Arial" w:hAnsi="Arial" w:cs="Arial"/>
                <w:sz w:val="20"/>
                <w:szCs w:val="20"/>
              </w:rPr>
              <w:t>3803_1</w:t>
            </w:r>
          </w:p>
        </w:tc>
        <w:tc>
          <w:tcPr>
            <w:tcW w:w="9087" w:type="dxa"/>
          </w:tcPr>
          <w:p w14:paraId="74FB18E5" w14:textId="77777777" w:rsidR="00FC71C8" w:rsidRDefault="005C6101" w:rsidP="005C6101">
            <w:pPr>
              <w:ind w:left="175" w:hanging="175"/>
              <w:rPr>
                <w:rFonts w:ascii="Arial" w:hAnsi="Arial" w:cs="Arial"/>
                <w:sz w:val="20"/>
                <w:szCs w:val="20"/>
              </w:rPr>
            </w:pPr>
            <w:r>
              <w:rPr>
                <w:rFonts w:ascii="Arial" w:hAnsi="Arial" w:cs="Arial"/>
                <w:sz w:val="20"/>
                <w:szCs w:val="20"/>
              </w:rPr>
              <w:t>- Gene3803_1 affects all WBC types (decreases) in a way that all differential counts don't change too much, except for Neutrophil and Lymphocyte.</w:t>
            </w:r>
          </w:p>
          <w:p w14:paraId="5FF70F3D" w14:textId="77777777" w:rsidR="005C6101" w:rsidRDefault="005C6101" w:rsidP="005C6101">
            <w:pPr>
              <w:ind w:left="175" w:hanging="175"/>
              <w:rPr>
                <w:rFonts w:ascii="Arial" w:hAnsi="Arial" w:cs="Arial"/>
                <w:sz w:val="20"/>
                <w:szCs w:val="20"/>
              </w:rPr>
            </w:pPr>
            <w:r>
              <w:rPr>
                <w:rFonts w:ascii="Arial" w:hAnsi="Arial" w:cs="Arial"/>
                <w:sz w:val="20"/>
                <w:szCs w:val="20"/>
              </w:rPr>
              <w:t>- Platelet count on its own.</w:t>
            </w:r>
          </w:p>
          <w:p w14:paraId="24106F5A" w14:textId="77777777" w:rsidR="005C6101" w:rsidRDefault="005C6101" w:rsidP="005C6101">
            <w:pPr>
              <w:ind w:left="175" w:hanging="175"/>
              <w:rPr>
                <w:rFonts w:ascii="Arial" w:hAnsi="Arial" w:cs="Arial"/>
                <w:sz w:val="20"/>
                <w:szCs w:val="20"/>
              </w:rPr>
            </w:pPr>
            <w:r>
              <w:rPr>
                <w:rFonts w:ascii="Arial" w:hAnsi="Arial" w:cs="Arial"/>
                <w:sz w:val="20"/>
                <w:szCs w:val="20"/>
              </w:rPr>
              <w:t>- Mean cell volume increase but hematocrit doesn't change so # RBC decreases. Less cell but same amount of hemoglobin -&gt; amount of hemoglobin per RBC increases.</w:t>
            </w:r>
          </w:p>
        </w:tc>
      </w:tr>
    </w:tbl>
    <w:p w14:paraId="1F1D2C48" w14:textId="77777777" w:rsidR="00C435B1" w:rsidRPr="00C435B1" w:rsidRDefault="00C435B1">
      <w:pPr>
        <w:rPr>
          <w:rFonts w:ascii="Arial" w:hAnsi="Arial" w:cs="Arial"/>
          <w:sz w:val="20"/>
          <w:szCs w:val="20"/>
        </w:rPr>
      </w:pPr>
    </w:p>
    <w:tbl>
      <w:tblPr>
        <w:tblStyle w:val="TableGrid"/>
        <w:tblW w:w="0" w:type="auto"/>
        <w:tblLook w:val="04A0" w:firstRow="1" w:lastRow="0" w:firstColumn="1" w:lastColumn="0" w:noHBand="0" w:noVBand="1"/>
      </w:tblPr>
      <w:tblGrid>
        <w:gridCol w:w="1101"/>
        <w:gridCol w:w="9087"/>
      </w:tblGrid>
      <w:tr w:rsidR="00A0643F" w:rsidRPr="00C435B1" w14:paraId="68C6D210" w14:textId="77777777" w:rsidTr="00A0643F">
        <w:tc>
          <w:tcPr>
            <w:tcW w:w="1101" w:type="dxa"/>
          </w:tcPr>
          <w:p w14:paraId="3D388C24" w14:textId="77777777" w:rsidR="00A0643F" w:rsidRPr="00C435B1" w:rsidRDefault="00A0643F">
            <w:pPr>
              <w:rPr>
                <w:rFonts w:ascii="Arial" w:hAnsi="Arial" w:cs="Arial"/>
                <w:sz w:val="20"/>
                <w:szCs w:val="20"/>
              </w:rPr>
            </w:pPr>
            <w:r w:rsidRPr="00C435B1">
              <w:rPr>
                <w:rFonts w:ascii="Arial" w:hAnsi="Arial" w:cs="Arial"/>
                <w:sz w:val="20"/>
                <w:szCs w:val="20"/>
              </w:rPr>
              <w:t>1550_1</w:t>
            </w:r>
          </w:p>
        </w:tc>
        <w:tc>
          <w:tcPr>
            <w:tcW w:w="9087" w:type="dxa"/>
          </w:tcPr>
          <w:p w14:paraId="3D650D95" w14:textId="77777777" w:rsidR="00A0643F" w:rsidRPr="00C435B1" w:rsidRDefault="005C6101" w:rsidP="00FC71C8">
            <w:pPr>
              <w:ind w:firstLine="33"/>
              <w:rPr>
                <w:rFonts w:ascii="Arial" w:hAnsi="Arial" w:cs="Arial"/>
                <w:sz w:val="20"/>
                <w:szCs w:val="20"/>
              </w:rPr>
            </w:pPr>
            <w:r>
              <w:rPr>
                <w:rFonts w:ascii="Arial" w:hAnsi="Arial" w:cs="Arial"/>
                <w:sz w:val="20"/>
                <w:szCs w:val="20"/>
              </w:rPr>
              <w:t>Not so clear</w:t>
            </w:r>
          </w:p>
        </w:tc>
      </w:tr>
      <w:tr w:rsidR="00A0643F" w:rsidRPr="00C435B1" w14:paraId="1359EF4B" w14:textId="77777777" w:rsidTr="00A0643F">
        <w:tc>
          <w:tcPr>
            <w:tcW w:w="1101" w:type="dxa"/>
          </w:tcPr>
          <w:p w14:paraId="2E758DD9" w14:textId="77777777" w:rsidR="00A0643F" w:rsidRPr="00C435B1" w:rsidRDefault="00A0643F">
            <w:pPr>
              <w:rPr>
                <w:rFonts w:ascii="Arial" w:hAnsi="Arial" w:cs="Arial"/>
                <w:sz w:val="20"/>
                <w:szCs w:val="20"/>
              </w:rPr>
            </w:pPr>
            <w:r w:rsidRPr="00C435B1">
              <w:rPr>
                <w:rFonts w:ascii="Arial" w:hAnsi="Arial" w:cs="Arial"/>
                <w:sz w:val="20"/>
                <w:szCs w:val="20"/>
              </w:rPr>
              <w:t>1796_1</w:t>
            </w:r>
          </w:p>
        </w:tc>
        <w:tc>
          <w:tcPr>
            <w:tcW w:w="9087" w:type="dxa"/>
          </w:tcPr>
          <w:p w14:paraId="6ECF9618" w14:textId="77777777" w:rsidR="00A0643F" w:rsidRDefault="008B4F3C" w:rsidP="008B4F3C">
            <w:pPr>
              <w:ind w:firstLine="33"/>
              <w:rPr>
                <w:rFonts w:ascii="Arial" w:hAnsi="Arial" w:cs="Arial"/>
                <w:sz w:val="20"/>
                <w:szCs w:val="20"/>
              </w:rPr>
            </w:pPr>
            <w:r>
              <w:rPr>
                <w:rFonts w:ascii="Arial" w:hAnsi="Arial" w:cs="Arial"/>
                <w:sz w:val="20"/>
                <w:szCs w:val="20"/>
              </w:rPr>
              <w:t>- Three RBC measurements same as 1798_1</w:t>
            </w:r>
            <w:r w:rsidR="005C6101">
              <w:rPr>
                <w:rFonts w:ascii="Arial" w:hAnsi="Arial" w:cs="Arial"/>
                <w:sz w:val="20"/>
                <w:szCs w:val="20"/>
              </w:rPr>
              <w:t>.</w:t>
            </w:r>
          </w:p>
          <w:p w14:paraId="2CBE15E0" w14:textId="77777777" w:rsidR="005C6101" w:rsidRPr="00C435B1" w:rsidRDefault="005C6101" w:rsidP="008B4F3C">
            <w:pPr>
              <w:ind w:firstLine="33"/>
              <w:rPr>
                <w:rFonts w:ascii="Arial" w:hAnsi="Arial" w:cs="Arial"/>
                <w:sz w:val="20"/>
                <w:szCs w:val="20"/>
              </w:rPr>
            </w:pPr>
            <w:r>
              <w:rPr>
                <w:rFonts w:ascii="Arial" w:hAnsi="Arial" w:cs="Arial"/>
                <w:sz w:val="20"/>
                <w:szCs w:val="20"/>
              </w:rPr>
              <w:t>- LUC count+diff. count decreases, confident. Monocytes not confident, same argument as 727_1.</w:t>
            </w:r>
          </w:p>
        </w:tc>
      </w:tr>
      <w:tr w:rsidR="00A0643F" w:rsidRPr="00C435B1" w14:paraId="73A08C1C" w14:textId="77777777" w:rsidTr="00A0643F">
        <w:tc>
          <w:tcPr>
            <w:tcW w:w="1101" w:type="dxa"/>
          </w:tcPr>
          <w:p w14:paraId="7C3DDD92" w14:textId="77777777" w:rsidR="00A0643F" w:rsidRPr="00C435B1" w:rsidRDefault="00A0643F">
            <w:pPr>
              <w:rPr>
                <w:rFonts w:ascii="Arial" w:hAnsi="Arial" w:cs="Arial"/>
                <w:sz w:val="20"/>
                <w:szCs w:val="20"/>
              </w:rPr>
            </w:pPr>
            <w:r w:rsidRPr="00C435B1">
              <w:rPr>
                <w:rFonts w:ascii="Arial" w:hAnsi="Arial" w:cs="Arial"/>
                <w:sz w:val="20"/>
                <w:szCs w:val="20"/>
              </w:rPr>
              <w:t>1797_1</w:t>
            </w:r>
          </w:p>
        </w:tc>
        <w:tc>
          <w:tcPr>
            <w:tcW w:w="9087" w:type="dxa"/>
          </w:tcPr>
          <w:p w14:paraId="6C6A1542" w14:textId="77777777" w:rsidR="00A0643F" w:rsidRDefault="008B4F3C" w:rsidP="008B4F3C">
            <w:pPr>
              <w:ind w:left="175" w:hanging="142"/>
              <w:rPr>
                <w:rFonts w:ascii="Arial" w:hAnsi="Arial" w:cs="Arial"/>
                <w:sz w:val="20"/>
                <w:szCs w:val="20"/>
              </w:rPr>
            </w:pPr>
            <w:r>
              <w:rPr>
                <w:rFonts w:ascii="Arial" w:hAnsi="Arial" w:cs="Arial"/>
                <w:sz w:val="20"/>
                <w:szCs w:val="20"/>
              </w:rPr>
              <w:t>- Lymphocyte count increases -&gt; WBC increases because most of WBC are lymphocytes. But diff. count not changing as the numerator and denominator increase similarly.</w:t>
            </w:r>
          </w:p>
          <w:p w14:paraId="3CBE827B" w14:textId="77777777" w:rsidR="008B4F3C" w:rsidRPr="00C435B1" w:rsidRDefault="008B4F3C" w:rsidP="008B4F3C">
            <w:pPr>
              <w:ind w:left="175" w:hanging="142"/>
              <w:rPr>
                <w:rFonts w:ascii="Arial" w:hAnsi="Arial" w:cs="Arial"/>
                <w:sz w:val="20"/>
                <w:szCs w:val="20"/>
              </w:rPr>
            </w:pPr>
            <w:r>
              <w:rPr>
                <w:rFonts w:ascii="Arial" w:hAnsi="Arial" w:cs="Arial"/>
                <w:sz w:val="20"/>
                <w:szCs w:val="20"/>
              </w:rPr>
              <w:t>The rest is not clear.</w:t>
            </w:r>
          </w:p>
        </w:tc>
      </w:tr>
      <w:tr w:rsidR="00A0643F" w:rsidRPr="00C435B1" w14:paraId="2DE3B162" w14:textId="77777777" w:rsidTr="00A0643F">
        <w:tc>
          <w:tcPr>
            <w:tcW w:w="1101" w:type="dxa"/>
          </w:tcPr>
          <w:p w14:paraId="712C0FCC" w14:textId="77777777" w:rsidR="00A0643F" w:rsidRPr="00C435B1" w:rsidRDefault="00A0643F">
            <w:pPr>
              <w:rPr>
                <w:rFonts w:ascii="Arial" w:hAnsi="Arial" w:cs="Arial"/>
                <w:sz w:val="20"/>
                <w:szCs w:val="20"/>
              </w:rPr>
            </w:pPr>
            <w:r w:rsidRPr="00C435B1">
              <w:rPr>
                <w:rFonts w:ascii="Arial" w:hAnsi="Arial" w:cs="Arial"/>
                <w:sz w:val="20"/>
                <w:szCs w:val="20"/>
              </w:rPr>
              <w:t>1798_1</w:t>
            </w:r>
          </w:p>
        </w:tc>
        <w:tc>
          <w:tcPr>
            <w:tcW w:w="9087" w:type="dxa"/>
          </w:tcPr>
          <w:p w14:paraId="4266E83D" w14:textId="77777777" w:rsidR="00A0643F" w:rsidRDefault="008B4F3C" w:rsidP="008B4F3C">
            <w:pPr>
              <w:ind w:firstLine="33"/>
              <w:rPr>
                <w:rFonts w:ascii="Arial" w:hAnsi="Arial" w:cs="Arial"/>
                <w:sz w:val="20"/>
                <w:szCs w:val="20"/>
              </w:rPr>
            </w:pPr>
            <w:r>
              <w:rPr>
                <w:rFonts w:ascii="Arial" w:hAnsi="Arial" w:cs="Arial"/>
                <w:sz w:val="20"/>
                <w:szCs w:val="20"/>
              </w:rPr>
              <w:t>WARNING: wrong signs. Should be hematocrit (</w:t>
            </w:r>
            <w:r w:rsidRPr="008B4F3C">
              <w:rPr>
                <w:rFonts w:ascii="Arial" w:hAnsi="Arial" w:cs="Arial"/>
                <w:sz w:val="20"/>
                <w:szCs w:val="20"/>
              </w:rPr>
              <w:t>–</w:t>
            </w:r>
            <w:r>
              <w:rPr>
                <w:rFonts w:ascii="Arial" w:hAnsi="Arial" w:cs="Arial"/>
                <w:sz w:val="20"/>
                <w:szCs w:val="20"/>
              </w:rPr>
              <w:t>), mean cell volume (</w:t>
            </w:r>
            <w:r w:rsidRPr="008B4F3C">
              <w:rPr>
                <w:rFonts w:ascii="Arial" w:hAnsi="Arial" w:cs="Arial"/>
                <w:sz w:val="20"/>
                <w:szCs w:val="20"/>
              </w:rPr>
              <w:t>–</w:t>
            </w:r>
            <w:r>
              <w:rPr>
                <w:rFonts w:ascii="Arial" w:hAnsi="Arial" w:cs="Arial"/>
                <w:sz w:val="20"/>
                <w:szCs w:val="20"/>
              </w:rPr>
              <w:t>).</w:t>
            </w:r>
          </w:p>
          <w:p w14:paraId="00E851FE" w14:textId="77777777" w:rsidR="008B4F3C" w:rsidRDefault="008B4F3C" w:rsidP="008B4F3C">
            <w:pPr>
              <w:ind w:left="175" w:hanging="142"/>
              <w:rPr>
                <w:rFonts w:ascii="Arial" w:hAnsi="Arial" w:cs="Arial"/>
                <w:sz w:val="20"/>
                <w:szCs w:val="20"/>
              </w:rPr>
            </w:pPr>
            <w:r>
              <w:rPr>
                <w:rFonts w:ascii="Arial" w:hAnsi="Arial" w:cs="Arial"/>
                <w:sz w:val="20"/>
                <w:szCs w:val="20"/>
              </w:rPr>
              <w:t>- Only affects RBC type.</w:t>
            </w:r>
          </w:p>
          <w:p w14:paraId="6B9E2AFA" w14:textId="77777777" w:rsidR="008B4F3C" w:rsidRPr="00C435B1" w:rsidRDefault="008B4F3C" w:rsidP="008B4F3C">
            <w:pPr>
              <w:ind w:left="175" w:hanging="142"/>
              <w:rPr>
                <w:rFonts w:ascii="Arial" w:hAnsi="Arial" w:cs="Arial"/>
                <w:sz w:val="20"/>
                <w:szCs w:val="20"/>
              </w:rPr>
            </w:pPr>
            <w:r>
              <w:rPr>
                <w:rFonts w:ascii="Arial" w:hAnsi="Arial" w:cs="Arial"/>
                <w:sz w:val="20"/>
                <w:szCs w:val="20"/>
              </w:rPr>
              <w:t>- Mean cell volume decreases -&gt; hematocrit decreases -&gt; MCHC increases as hemoglobin in whole blood doesn't change.</w:t>
            </w:r>
          </w:p>
        </w:tc>
      </w:tr>
      <w:tr w:rsidR="00A0643F" w:rsidRPr="00C435B1" w14:paraId="07C6654D" w14:textId="77777777" w:rsidTr="00A0643F">
        <w:tc>
          <w:tcPr>
            <w:tcW w:w="1101" w:type="dxa"/>
          </w:tcPr>
          <w:p w14:paraId="1318C5A9" w14:textId="77777777" w:rsidR="00A0643F" w:rsidRPr="00C435B1" w:rsidRDefault="00A0643F">
            <w:pPr>
              <w:rPr>
                <w:rFonts w:ascii="Arial" w:hAnsi="Arial" w:cs="Arial"/>
                <w:sz w:val="20"/>
                <w:szCs w:val="20"/>
              </w:rPr>
            </w:pPr>
            <w:r w:rsidRPr="00C435B1">
              <w:rPr>
                <w:rFonts w:ascii="Arial" w:hAnsi="Arial" w:cs="Arial"/>
                <w:sz w:val="20"/>
                <w:szCs w:val="20"/>
              </w:rPr>
              <w:t>1799_1</w:t>
            </w:r>
          </w:p>
        </w:tc>
        <w:tc>
          <w:tcPr>
            <w:tcW w:w="9087" w:type="dxa"/>
          </w:tcPr>
          <w:p w14:paraId="38639BB1" w14:textId="77777777" w:rsidR="00A0643F" w:rsidRDefault="008B4F3C" w:rsidP="008B4F3C">
            <w:pPr>
              <w:ind w:left="175" w:hanging="142"/>
              <w:rPr>
                <w:rFonts w:ascii="Arial" w:hAnsi="Arial" w:cs="Arial"/>
                <w:sz w:val="20"/>
                <w:szCs w:val="20"/>
              </w:rPr>
            </w:pPr>
            <w:r>
              <w:rPr>
                <w:rFonts w:ascii="Arial" w:hAnsi="Arial" w:cs="Arial"/>
                <w:sz w:val="20"/>
                <w:szCs w:val="20"/>
              </w:rPr>
              <w:t>- Mean cell volume increase but # RBC doesn't change -&gt; total volume of RBC increases i.e. hematocrit increases.</w:t>
            </w:r>
          </w:p>
          <w:p w14:paraId="6058B116" w14:textId="77777777" w:rsidR="008B4F3C" w:rsidRDefault="008B4F3C" w:rsidP="008B4F3C">
            <w:pPr>
              <w:ind w:left="175" w:hanging="142"/>
              <w:rPr>
                <w:rFonts w:ascii="Arial" w:hAnsi="Arial" w:cs="Arial"/>
                <w:sz w:val="20"/>
                <w:szCs w:val="20"/>
              </w:rPr>
            </w:pPr>
            <w:r>
              <w:rPr>
                <w:rFonts w:ascii="Arial" w:hAnsi="Arial" w:cs="Arial"/>
                <w:sz w:val="20"/>
                <w:szCs w:val="20"/>
              </w:rPr>
              <w:t>- Amount of hemoglobin per cell decreases (mean corpuscular decreases) -&gt; concentration in RBC decreases.</w:t>
            </w:r>
          </w:p>
          <w:p w14:paraId="458E8663" w14:textId="77777777" w:rsidR="008B4F3C" w:rsidRPr="00C435B1" w:rsidRDefault="008B4F3C" w:rsidP="008B4F3C">
            <w:pPr>
              <w:ind w:left="175" w:hanging="142"/>
              <w:rPr>
                <w:rFonts w:ascii="Arial" w:hAnsi="Arial" w:cs="Arial"/>
                <w:sz w:val="20"/>
                <w:szCs w:val="20"/>
              </w:rPr>
            </w:pPr>
            <w:r>
              <w:rPr>
                <w:rFonts w:ascii="Arial" w:hAnsi="Arial" w:cs="Arial"/>
                <w:sz w:val="20"/>
                <w:szCs w:val="20"/>
              </w:rPr>
              <w:t>- Draw a DAG? Same problem as DAG on the right on poster.</w:t>
            </w:r>
          </w:p>
        </w:tc>
      </w:tr>
      <w:tr w:rsidR="00A0643F" w:rsidRPr="00C435B1" w14:paraId="38EF54E7" w14:textId="77777777" w:rsidTr="00A0643F">
        <w:tc>
          <w:tcPr>
            <w:tcW w:w="1101" w:type="dxa"/>
          </w:tcPr>
          <w:p w14:paraId="6128EC93" w14:textId="77777777" w:rsidR="00A0643F" w:rsidRPr="00C435B1" w:rsidRDefault="00A0643F">
            <w:pPr>
              <w:rPr>
                <w:rFonts w:ascii="Arial" w:hAnsi="Arial" w:cs="Arial"/>
                <w:sz w:val="20"/>
                <w:szCs w:val="20"/>
              </w:rPr>
            </w:pPr>
            <w:r w:rsidRPr="00C435B1">
              <w:rPr>
                <w:rFonts w:ascii="Arial" w:hAnsi="Arial" w:cs="Arial"/>
                <w:sz w:val="20"/>
                <w:szCs w:val="20"/>
              </w:rPr>
              <w:t>3157_1</w:t>
            </w:r>
          </w:p>
        </w:tc>
        <w:tc>
          <w:tcPr>
            <w:tcW w:w="9087" w:type="dxa"/>
          </w:tcPr>
          <w:p w14:paraId="7A08A6AE" w14:textId="77777777" w:rsidR="00A0643F" w:rsidRPr="00C435B1" w:rsidRDefault="000A5390" w:rsidP="00FC71C8">
            <w:pPr>
              <w:ind w:firstLine="33"/>
              <w:rPr>
                <w:rFonts w:ascii="Arial" w:hAnsi="Arial" w:cs="Arial"/>
                <w:sz w:val="20"/>
                <w:szCs w:val="20"/>
              </w:rPr>
            </w:pPr>
            <w:r>
              <w:rPr>
                <w:rFonts w:ascii="Arial" w:hAnsi="Arial" w:cs="Arial"/>
                <w:sz w:val="20"/>
                <w:szCs w:val="20"/>
              </w:rPr>
              <w:t xml:space="preserve">- Same argument as </w:t>
            </w:r>
            <w:r w:rsidRPr="00C435B1">
              <w:rPr>
                <w:rFonts w:ascii="Arial" w:hAnsi="Arial" w:cs="Arial"/>
                <w:sz w:val="20"/>
                <w:szCs w:val="20"/>
              </w:rPr>
              <w:t>3621_1</w:t>
            </w:r>
            <w:r>
              <w:rPr>
                <w:rFonts w:ascii="Arial" w:hAnsi="Arial" w:cs="Arial"/>
                <w:sz w:val="20"/>
                <w:szCs w:val="20"/>
              </w:rPr>
              <w:t xml:space="preserve"> and 727_1</w:t>
            </w:r>
            <w:r w:rsidR="008B4F3C">
              <w:rPr>
                <w:rFonts w:ascii="Arial" w:hAnsi="Arial" w:cs="Arial"/>
                <w:sz w:val="20"/>
                <w:szCs w:val="20"/>
              </w:rPr>
              <w:t xml:space="preserve"> for lymphocytes diff. count. Eosinophil confident.</w:t>
            </w:r>
          </w:p>
        </w:tc>
      </w:tr>
      <w:tr w:rsidR="00A0643F" w:rsidRPr="00C435B1" w14:paraId="1C6BF2D1" w14:textId="77777777" w:rsidTr="00A0643F">
        <w:tc>
          <w:tcPr>
            <w:tcW w:w="1101" w:type="dxa"/>
          </w:tcPr>
          <w:p w14:paraId="5098E6C7" w14:textId="77777777" w:rsidR="00A0643F" w:rsidRPr="00C435B1" w:rsidRDefault="00A0643F">
            <w:pPr>
              <w:rPr>
                <w:rFonts w:ascii="Arial" w:hAnsi="Arial" w:cs="Arial"/>
                <w:sz w:val="20"/>
                <w:szCs w:val="20"/>
              </w:rPr>
            </w:pPr>
            <w:r w:rsidRPr="00C435B1">
              <w:rPr>
                <w:rFonts w:ascii="Arial" w:hAnsi="Arial" w:cs="Arial"/>
                <w:sz w:val="20"/>
                <w:szCs w:val="20"/>
              </w:rPr>
              <w:t>*3621_1</w:t>
            </w:r>
          </w:p>
        </w:tc>
        <w:tc>
          <w:tcPr>
            <w:tcW w:w="9087" w:type="dxa"/>
          </w:tcPr>
          <w:p w14:paraId="14DA375D" w14:textId="77777777" w:rsidR="00A0643F" w:rsidRDefault="00FC71C8" w:rsidP="00FC71C8">
            <w:pPr>
              <w:ind w:left="175" w:hanging="142"/>
              <w:rPr>
                <w:rFonts w:ascii="Arial" w:hAnsi="Arial" w:cs="Arial"/>
                <w:sz w:val="20"/>
                <w:szCs w:val="20"/>
              </w:rPr>
            </w:pPr>
            <w:r>
              <w:rPr>
                <w:rFonts w:ascii="Arial" w:hAnsi="Arial" w:cs="Arial"/>
                <w:sz w:val="20"/>
                <w:szCs w:val="20"/>
              </w:rPr>
              <w:t>- This is an example of differential count going down while the raw count goes up. Monocytes very sensitive to small change (small scale).</w:t>
            </w:r>
          </w:p>
          <w:p w14:paraId="128AA0D0" w14:textId="77777777" w:rsidR="00FC71C8" w:rsidRDefault="00FC71C8" w:rsidP="00FC71C8">
            <w:pPr>
              <w:ind w:left="175" w:hanging="142"/>
              <w:rPr>
                <w:rFonts w:ascii="Arial" w:hAnsi="Arial" w:cs="Arial"/>
                <w:sz w:val="20"/>
                <w:szCs w:val="20"/>
              </w:rPr>
            </w:pPr>
            <w:r>
              <w:rPr>
                <w:rFonts w:ascii="Arial" w:hAnsi="Arial" w:cs="Arial"/>
                <w:sz w:val="20"/>
                <w:szCs w:val="20"/>
              </w:rPr>
              <w:t>- Monocytes count increases, but monocytes diff. count decreases. LUC diff. count increases but the raw count does not change. So something else is increasing, but not enough to be found significant.</w:t>
            </w:r>
          </w:p>
          <w:p w14:paraId="6B47FD9D" w14:textId="77777777" w:rsidR="000A5390" w:rsidRDefault="000A5390" w:rsidP="00FC71C8">
            <w:pPr>
              <w:ind w:left="175" w:hanging="142"/>
              <w:rPr>
                <w:rFonts w:ascii="Arial" w:hAnsi="Arial" w:cs="Arial"/>
                <w:sz w:val="20"/>
                <w:szCs w:val="20"/>
              </w:rPr>
            </w:pPr>
            <w:r>
              <w:rPr>
                <w:rFonts w:ascii="Arial" w:hAnsi="Arial" w:cs="Arial"/>
                <w:sz w:val="20"/>
                <w:szCs w:val="20"/>
              </w:rPr>
              <w:t>- All RBC type measurements change in the same direction.</w:t>
            </w:r>
          </w:p>
          <w:p w14:paraId="43D956C3" w14:textId="77777777" w:rsidR="000A5390" w:rsidRDefault="000A5390" w:rsidP="00FC71C8">
            <w:pPr>
              <w:ind w:left="175" w:hanging="142"/>
              <w:rPr>
                <w:rFonts w:ascii="Arial" w:hAnsi="Arial" w:cs="Arial"/>
                <w:sz w:val="20"/>
                <w:szCs w:val="20"/>
              </w:rPr>
            </w:pPr>
            <w:r>
              <w:rPr>
                <w:rFonts w:ascii="Arial" w:hAnsi="Arial" w:cs="Arial"/>
                <w:sz w:val="20"/>
                <w:szCs w:val="20"/>
              </w:rPr>
              <w:t>- # RBC decreases and mean cell volume also decreases -&gt; hematocrit decreases.</w:t>
            </w:r>
          </w:p>
          <w:p w14:paraId="03E251E2" w14:textId="77777777" w:rsidR="000A5390" w:rsidRPr="00C435B1" w:rsidRDefault="000A5390" w:rsidP="00FC71C8">
            <w:pPr>
              <w:ind w:left="175" w:hanging="142"/>
              <w:rPr>
                <w:rFonts w:ascii="Arial" w:hAnsi="Arial" w:cs="Arial"/>
                <w:sz w:val="20"/>
                <w:szCs w:val="20"/>
              </w:rPr>
            </w:pPr>
            <w:r>
              <w:rPr>
                <w:rFonts w:ascii="Arial" w:hAnsi="Arial" w:cs="Arial"/>
                <w:sz w:val="20"/>
                <w:szCs w:val="20"/>
              </w:rPr>
              <w:t>- Hemoglobin decreases enough so that mean corpuscular hemoglobin also decreases even if the # RBC decreases and the mean cell volume decreased. So does the concentration in whole blood.</w:t>
            </w:r>
          </w:p>
        </w:tc>
      </w:tr>
      <w:tr w:rsidR="00A0643F" w:rsidRPr="00C435B1" w14:paraId="33C89C98" w14:textId="77777777" w:rsidTr="00A0643F">
        <w:tc>
          <w:tcPr>
            <w:tcW w:w="1101" w:type="dxa"/>
          </w:tcPr>
          <w:p w14:paraId="744EF9BD" w14:textId="77777777" w:rsidR="00A0643F" w:rsidRPr="00C435B1" w:rsidRDefault="00A0643F">
            <w:pPr>
              <w:rPr>
                <w:rFonts w:ascii="Arial" w:hAnsi="Arial" w:cs="Arial"/>
                <w:sz w:val="20"/>
                <w:szCs w:val="20"/>
              </w:rPr>
            </w:pPr>
            <w:r w:rsidRPr="00C435B1">
              <w:rPr>
                <w:rFonts w:ascii="Arial" w:hAnsi="Arial" w:cs="Arial"/>
                <w:sz w:val="20"/>
                <w:szCs w:val="20"/>
              </w:rPr>
              <w:t>3805_1</w:t>
            </w:r>
          </w:p>
        </w:tc>
        <w:tc>
          <w:tcPr>
            <w:tcW w:w="9087" w:type="dxa"/>
          </w:tcPr>
          <w:p w14:paraId="14CFC23F" w14:textId="77777777" w:rsidR="000A5390" w:rsidRDefault="000A5390" w:rsidP="000A5390">
            <w:pPr>
              <w:ind w:left="175" w:hanging="142"/>
              <w:rPr>
                <w:rFonts w:ascii="Arial" w:hAnsi="Arial" w:cs="Arial"/>
                <w:sz w:val="20"/>
                <w:szCs w:val="20"/>
              </w:rPr>
            </w:pPr>
            <w:r>
              <w:rPr>
                <w:rFonts w:ascii="Arial" w:hAnsi="Arial" w:cs="Arial"/>
                <w:sz w:val="20"/>
                <w:szCs w:val="20"/>
              </w:rPr>
              <w:t>- LUC raw count increases -&gt; LUC diff. count increases. Confident with that as both same direction.</w:t>
            </w:r>
          </w:p>
          <w:p w14:paraId="015BA4A9" w14:textId="77777777" w:rsidR="00A0643F" w:rsidRPr="00C435B1" w:rsidRDefault="000A5390" w:rsidP="000A5390">
            <w:pPr>
              <w:ind w:left="175" w:hanging="142"/>
              <w:rPr>
                <w:rFonts w:ascii="Arial" w:hAnsi="Arial" w:cs="Arial"/>
                <w:sz w:val="20"/>
                <w:szCs w:val="20"/>
              </w:rPr>
            </w:pPr>
            <w:r>
              <w:rPr>
                <w:rFonts w:ascii="Arial" w:hAnsi="Arial" w:cs="Arial"/>
                <w:sz w:val="20"/>
                <w:szCs w:val="20"/>
              </w:rPr>
              <w:t>- Mean cell volume increases -&gt; MCHC decreases since the total amount of hemoglobin does not change.</w:t>
            </w:r>
          </w:p>
        </w:tc>
      </w:tr>
      <w:tr w:rsidR="00A0643F" w:rsidRPr="00C435B1" w14:paraId="7977EAC4" w14:textId="77777777" w:rsidTr="00A0643F">
        <w:tc>
          <w:tcPr>
            <w:tcW w:w="1101" w:type="dxa"/>
          </w:tcPr>
          <w:p w14:paraId="322C4BB6" w14:textId="77777777" w:rsidR="00A0643F" w:rsidRPr="00C435B1" w:rsidRDefault="00A0643F">
            <w:pPr>
              <w:rPr>
                <w:rFonts w:ascii="Arial" w:hAnsi="Arial" w:cs="Arial"/>
                <w:sz w:val="20"/>
                <w:szCs w:val="20"/>
              </w:rPr>
            </w:pPr>
            <w:r w:rsidRPr="00C435B1">
              <w:rPr>
                <w:rFonts w:ascii="Arial" w:hAnsi="Arial" w:cs="Arial"/>
                <w:sz w:val="20"/>
                <w:szCs w:val="20"/>
              </w:rPr>
              <w:t>3887_1</w:t>
            </w:r>
          </w:p>
        </w:tc>
        <w:tc>
          <w:tcPr>
            <w:tcW w:w="9087" w:type="dxa"/>
          </w:tcPr>
          <w:p w14:paraId="686157F3" w14:textId="77777777" w:rsidR="00A0643F" w:rsidRPr="00C435B1" w:rsidRDefault="000A5390" w:rsidP="00FC71C8">
            <w:pPr>
              <w:ind w:firstLine="33"/>
              <w:rPr>
                <w:rFonts w:ascii="Arial" w:hAnsi="Arial" w:cs="Arial"/>
                <w:sz w:val="20"/>
                <w:szCs w:val="20"/>
              </w:rPr>
            </w:pPr>
            <w:r>
              <w:rPr>
                <w:rFonts w:ascii="Arial" w:hAnsi="Arial" w:cs="Arial"/>
                <w:sz w:val="20"/>
                <w:szCs w:val="20"/>
              </w:rPr>
              <w:t>Not clear</w:t>
            </w:r>
          </w:p>
        </w:tc>
      </w:tr>
      <w:tr w:rsidR="00A0643F" w:rsidRPr="00C435B1" w14:paraId="110F822C" w14:textId="77777777" w:rsidTr="00A0643F">
        <w:tc>
          <w:tcPr>
            <w:tcW w:w="1101" w:type="dxa"/>
          </w:tcPr>
          <w:p w14:paraId="08764F80" w14:textId="77777777" w:rsidR="00A0643F" w:rsidRPr="00C435B1" w:rsidRDefault="00A0643F">
            <w:pPr>
              <w:rPr>
                <w:rFonts w:ascii="Arial" w:hAnsi="Arial" w:cs="Arial"/>
                <w:sz w:val="20"/>
                <w:szCs w:val="20"/>
              </w:rPr>
            </w:pPr>
            <w:r w:rsidRPr="00C435B1">
              <w:rPr>
                <w:rFonts w:ascii="Arial" w:hAnsi="Arial" w:cs="Arial"/>
                <w:sz w:val="20"/>
                <w:szCs w:val="20"/>
              </w:rPr>
              <w:t>4045_1</w:t>
            </w:r>
          </w:p>
        </w:tc>
        <w:tc>
          <w:tcPr>
            <w:tcW w:w="9087" w:type="dxa"/>
          </w:tcPr>
          <w:p w14:paraId="3DD4A35D" w14:textId="77777777" w:rsidR="00FC71C8" w:rsidRDefault="00FC71C8" w:rsidP="00FC71C8">
            <w:pPr>
              <w:ind w:left="33"/>
              <w:rPr>
                <w:rFonts w:ascii="Arial" w:hAnsi="Arial" w:cs="Arial"/>
                <w:sz w:val="20"/>
                <w:szCs w:val="20"/>
              </w:rPr>
            </w:pPr>
            <w:r>
              <w:rPr>
                <w:rFonts w:ascii="Arial" w:hAnsi="Arial" w:cs="Arial"/>
                <w:sz w:val="20"/>
                <w:szCs w:val="20"/>
              </w:rPr>
              <w:t>- LUC diff. count decreases but not raw count. Same argument as 727_1.</w:t>
            </w:r>
          </w:p>
          <w:p w14:paraId="218BF3AA" w14:textId="77777777" w:rsidR="00FC71C8" w:rsidRPr="00C435B1" w:rsidRDefault="00FC71C8" w:rsidP="00FC71C8">
            <w:pPr>
              <w:ind w:left="33"/>
              <w:rPr>
                <w:rFonts w:ascii="Arial" w:hAnsi="Arial" w:cs="Arial"/>
                <w:sz w:val="20"/>
                <w:szCs w:val="20"/>
              </w:rPr>
            </w:pPr>
            <w:r>
              <w:rPr>
                <w:rFonts w:ascii="Arial" w:hAnsi="Arial" w:cs="Arial"/>
                <w:sz w:val="20"/>
                <w:szCs w:val="20"/>
              </w:rPr>
              <w:t xml:space="preserve">- Mean platelet volume on it's own. </w:t>
            </w:r>
          </w:p>
        </w:tc>
      </w:tr>
      <w:tr w:rsidR="00A0643F" w:rsidRPr="00C435B1" w14:paraId="5C12D250" w14:textId="77777777" w:rsidTr="00A0643F">
        <w:tc>
          <w:tcPr>
            <w:tcW w:w="1101" w:type="dxa"/>
          </w:tcPr>
          <w:p w14:paraId="1B019B6B" w14:textId="77777777" w:rsidR="00A0643F" w:rsidRPr="00C435B1" w:rsidRDefault="00A0643F">
            <w:pPr>
              <w:rPr>
                <w:rFonts w:ascii="Arial" w:hAnsi="Arial" w:cs="Arial"/>
                <w:sz w:val="20"/>
                <w:szCs w:val="20"/>
              </w:rPr>
            </w:pPr>
            <w:r w:rsidRPr="00C435B1">
              <w:rPr>
                <w:rFonts w:ascii="Arial" w:hAnsi="Arial" w:cs="Arial"/>
                <w:sz w:val="20"/>
                <w:szCs w:val="20"/>
              </w:rPr>
              <w:t>4047_1</w:t>
            </w:r>
          </w:p>
        </w:tc>
        <w:tc>
          <w:tcPr>
            <w:tcW w:w="9087" w:type="dxa"/>
          </w:tcPr>
          <w:p w14:paraId="27B40BA6" w14:textId="77777777" w:rsidR="00A0643F" w:rsidRDefault="00FC71C8" w:rsidP="00FC71C8">
            <w:pPr>
              <w:ind w:left="175" w:hanging="142"/>
              <w:rPr>
                <w:rFonts w:ascii="Arial" w:hAnsi="Arial" w:cs="Arial"/>
                <w:sz w:val="20"/>
                <w:szCs w:val="20"/>
              </w:rPr>
            </w:pPr>
            <w:r w:rsidRPr="00C435B1">
              <w:rPr>
                <w:rFonts w:ascii="Arial" w:hAnsi="Arial" w:cs="Arial"/>
                <w:sz w:val="20"/>
                <w:szCs w:val="20"/>
              </w:rPr>
              <w:t xml:space="preserve">- </w:t>
            </w:r>
            <w:r>
              <w:rPr>
                <w:rFonts w:ascii="Arial" w:hAnsi="Arial" w:cs="Arial"/>
                <w:sz w:val="20"/>
                <w:szCs w:val="20"/>
              </w:rPr>
              <w:t>Mean cell volume increases, so the total volume of RBC increases -&gt; hematocrit increases</w:t>
            </w:r>
            <w:r w:rsidRPr="00C435B1">
              <w:rPr>
                <w:rFonts w:ascii="Arial" w:hAnsi="Arial" w:cs="Arial"/>
                <w:sz w:val="20"/>
                <w:szCs w:val="20"/>
              </w:rPr>
              <w:t>.</w:t>
            </w:r>
          </w:p>
          <w:p w14:paraId="412FA67D" w14:textId="77777777" w:rsidR="00FC71C8" w:rsidRPr="00C435B1" w:rsidRDefault="00FC71C8" w:rsidP="00FC71C8">
            <w:pPr>
              <w:ind w:left="175" w:hanging="142"/>
              <w:rPr>
                <w:rFonts w:ascii="Arial" w:hAnsi="Arial" w:cs="Arial"/>
                <w:sz w:val="20"/>
                <w:szCs w:val="20"/>
              </w:rPr>
            </w:pPr>
            <w:r>
              <w:rPr>
                <w:rFonts w:ascii="Arial" w:hAnsi="Arial" w:cs="Arial"/>
                <w:sz w:val="20"/>
                <w:szCs w:val="20"/>
              </w:rPr>
              <w:t xml:space="preserve">- Mean platelet volume on it's own. </w:t>
            </w:r>
          </w:p>
        </w:tc>
      </w:tr>
      <w:tr w:rsidR="00A0643F" w:rsidRPr="00C435B1" w14:paraId="1330748F" w14:textId="77777777" w:rsidTr="00A0643F">
        <w:tc>
          <w:tcPr>
            <w:tcW w:w="1101" w:type="dxa"/>
          </w:tcPr>
          <w:p w14:paraId="591B3D26" w14:textId="77777777" w:rsidR="00A0643F" w:rsidRPr="00C435B1" w:rsidRDefault="00A0643F">
            <w:pPr>
              <w:rPr>
                <w:rFonts w:ascii="Arial" w:hAnsi="Arial" w:cs="Arial"/>
                <w:sz w:val="20"/>
                <w:szCs w:val="20"/>
              </w:rPr>
            </w:pPr>
            <w:r w:rsidRPr="00C435B1">
              <w:rPr>
                <w:rFonts w:ascii="Arial" w:hAnsi="Arial" w:cs="Arial"/>
                <w:sz w:val="20"/>
                <w:szCs w:val="20"/>
              </w:rPr>
              <w:t>*727_1</w:t>
            </w:r>
          </w:p>
        </w:tc>
        <w:tc>
          <w:tcPr>
            <w:tcW w:w="9087" w:type="dxa"/>
          </w:tcPr>
          <w:p w14:paraId="0505BED6" w14:textId="77777777" w:rsidR="00A0643F" w:rsidRPr="00C435B1" w:rsidRDefault="00A0643F" w:rsidP="00A0643F">
            <w:pPr>
              <w:ind w:left="175" w:hanging="142"/>
              <w:rPr>
                <w:rFonts w:ascii="Arial" w:hAnsi="Arial" w:cs="Arial"/>
                <w:sz w:val="20"/>
                <w:szCs w:val="20"/>
              </w:rPr>
            </w:pPr>
            <w:r w:rsidRPr="00C435B1">
              <w:rPr>
                <w:rFonts w:ascii="Arial" w:hAnsi="Arial" w:cs="Arial"/>
                <w:sz w:val="20"/>
                <w:szCs w:val="20"/>
              </w:rPr>
              <w:t xml:space="preserve">- Raw count of </w:t>
            </w:r>
            <w:r w:rsidRPr="008B4F3C">
              <w:rPr>
                <w:rFonts w:ascii="Arial" w:hAnsi="Arial" w:cs="Arial"/>
                <w:sz w:val="20"/>
                <w:szCs w:val="20"/>
              </w:rPr>
              <w:t>monocytes</w:t>
            </w:r>
            <w:r w:rsidRPr="00C435B1">
              <w:rPr>
                <w:rFonts w:ascii="Arial" w:hAnsi="Arial" w:cs="Arial"/>
                <w:sz w:val="20"/>
                <w:szCs w:val="20"/>
              </w:rPr>
              <w:t xml:space="preserve"> did not increase, but differential count did increase meaning that all or some other WBC may have decreased, but not enough to be found significant.</w:t>
            </w:r>
          </w:p>
          <w:p w14:paraId="4876DE06" w14:textId="77777777" w:rsidR="00FC71C8" w:rsidRPr="00C435B1" w:rsidRDefault="00A0643F" w:rsidP="000A5390">
            <w:pPr>
              <w:ind w:left="175" w:hanging="142"/>
              <w:rPr>
                <w:rFonts w:ascii="Arial" w:hAnsi="Arial" w:cs="Arial"/>
                <w:sz w:val="20"/>
                <w:szCs w:val="20"/>
              </w:rPr>
            </w:pPr>
            <w:r w:rsidRPr="00C435B1">
              <w:rPr>
                <w:rFonts w:ascii="Arial" w:hAnsi="Arial" w:cs="Arial"/>
                <w:sz w:val="20"/>
                <w:szCs w:val="20"/>
              </w:rPr>
              <w:t xml:space="preserve">- </w:t>
            </w:r>
            <w:r w:rsidR="00C435B1" w:rsidRPr="00C435B1">
              <w:rPr>
                <w:rFonts w:ascii="Arial" w:hAnsi="Arial" w:cs="Arial"/>
                <w:sz w:val="20"/>
                <w:szCs w:val="20"/>
              </w:rPr>
              <w:t>Since the # of RBC stays the same</w:t>
            </w:r>
            <w:r w:rsidR="000A5390">
              <w:rPr>
                <w:rFonts w:ascii="Arial" w:hAnsi="Arial" w:cs="Arial"/>
                <w:sz w:val="20"/>
                <w:szCs w:val="20"/>
              </w:rPr>
              <w:t xml:space="preserve"> and hemoglobin does not change</w:t>
            </w:r>
            <w:r w:rsidR="00C435B1" w:rsidRPr="00C435B1">
              <w:rPr>
                <w:rFonts w:ascii="Arial" w:hAnsi="Arial" w:cs="Arial"/>
                <w:sz w:val="20"/>
                <w:szCs w:val="20"/>
              </w:rPr>
              <w:t>,</w:t>
            </w:r>
            <w:r w:rsidR="00FC71C8">
              <w:rPr>
                <w:rFonts w:ascii="Arial" w:hAnsi="Arial" w:cs="Arial"/>
                <w:sz w:val="20"/>
                <w:szCs w:val="20"/>
              </w:rPr>
              <w:t xml:space="preserve"> </w:t>
            </w:r>
            <w:r w:rsidR="000A5390">
              <w:rPr>
                <w:rFonts w:ascii="Arial" w:hAnsi="Arial" w:cs="Arial"/>
                <w:sz w:val="20"/>
                <w:szCs w:val="20"/>
              </w:rPr>
              <w:t xml:space="preserve">this implies that </w:t>
            </w:r>
            <w:r w:rsidR="00C435B1" w:rsidRPr="00C435B1">
              <w:rPr>
                <w:rFonts w:ascii="Arial" w:hAnsi="Arial" w:cs="Arial"/>
                <w:sz w:val="20"/>
                <w:szCs w:val="20"/>
              </w:rPr>
              <w:t>the average amount of hemog</w:t>
            </w:r>
            <w:r w:rsidR="000A5390">
              <w:rPr>
                <w:rFonts w:ascii="Arial" w:hAnsi="Arial" w:cs="Arial"/>
                <w:sz w:val="20"/>
                <w:szCs w:val="20"/>
              </w:rPr>
              <w:t>lobin in each cell is decreasing, and so does the concentration in RBC</w:t>
            </w:r>
            <w:r w:rsidR="00C435B1" w:rsidRPr="00C435B1">
              <w:rPr>
                <w:rFonts w:ascii="Arial" w:hAnsi="Arial" w:cs="Arial"/>
                <w:sz w:val="20"/>
                <w:szCs w:val="20"/>
              </w:rPr>
              <w:t>. However, this change is not large enough to be reflected in the overall hemoglobin concentration (which consider whole blood)</w:t>
            </w:r>
            <w:r w:rsidR="000A5390">
              <w:rPr>
                <w:rFonts w:ascii="Arial" w:hAnsi="Arial" w:cs="Arial"/>
                <w:sz w:val="20"/>
                <w:szCs w:val="20"/>
              </w:rPr>
              <w:t>.</w:t>
            </w:r>
          </w:p>
        </w:tc>
      </w:tr>
    </w:tbl>
    <w:p w14:paraId="44F44666" w14:textId="77777777" w:rsidR="0061461C" w:rsidRPr="00C435B1" w:rsidRDefault="0061461C">
      <w:pPr>
        <w:rPr>
          <w:rFonts w:ascii="Arial" w:hAnsi="Arial" w:cs="Arial"/>
          <w:sz w:val="20"/>
          <w:szCs w:val="20"/>
        </w:rPr>
      </w:pPr>
    </w:p>
    <w:p w14:paraId="6A3D9696" w14:textId="77777777" w:rsidR="00A0643F" w:rsidRPr="00C435B1" w:rsidRDefault="00A0643F">
      <w:pPr>
        <w:rPr>
          <w:rFonts w:ascii="Arial" w:hAnsi="Arial" w:cs="Arial"/>
          <w:sz w:val="20"/>
          <w:szCs w:val="20"/>
        </w:rPr>
      </w:pPr>
      <w:r w:rsidRPr="00C435B1">
        <w:rPr>
          <w:rFonts w:ascii="Arial" w:hAnsi="Arial" w:cs="Arial"/>
          <w:sz w:val="20"/>
          <w:szCs w:val="20"/>
        </w:rPr>
        <w:t>Key points</w:t>
      </w:r>
    </w:p>
    <w:p w14:paraId="57C6E909" w14:textId="77777777" w:rsidR="00A0643F" w:rsidRPr="00C435B1" w:rsidRDefault="00A0643F" w:rsidP="00A0643F">
      <w:pPr>
        <w:pStyle w:val="ListParagraph"/>
        <w:numPr>
          <w:ilvl w:val="0"/>
          <w:numId w:val="1"/>
        </w:numPr>
        <w:rPr>
          <w:rFonts w:ascii="Arial" w:hAnsi="Arial" w:cs="Arial"/>
          <w:sz w:val="20"/>
          <w:szCs w:val="20"/>
        </w:rPr>
      </w:pPr>
      <w:r w:rsidRPr="00C435B1">
        <w:rPr>
          <w:rFonts w:ascii="Arial" w:hAnsi="Arial" w:cs="Arial"/>
          <w:sz w:val="20"/>
          <w:szCs w:val="20"/>
        </w:rPr>
        <w:t>Three main categories measurements: red blood cell, white blood cell, and platelet.</w:t>
      </w:r>
      <w:r w:rsidR="00FC71C8">
        <w:rPr>
          <w:rFonts w:ascii="Arial" w:hAnsi="Arial" w:cs="Arial"/>
          <w:sz w:val="20"/>
          <w:szCs w:val="20"/>
        </w:rPr>
        <w:t xml:space="preserve"> Interpreted separately.</w:t>
      </w:r>
    </w:p>
    <w:p w14:paraId="04E6D15E" w14:textId="77777777" w:rsidR="00A0643F" w:rsidRPr="00C435B1" w:rsidRDefault="00A0643F" w:rsidP="00A0643F">
      <w:pPr>
        <w:pStyle w:val="ListParagraph"/>
        <w:numPr>
          <w:ilvl w:val="0"/>
          <w:numId w:val="1"/>
        </w:numPr>
        <w:rPr>
          <w:rFonts w:ascii="Arial" w:hAnsi="Arial" w:cs="Arial"/>
          <w:sz w:val="20"/>
          <w:szCs w:val="20"/>
        </w:rPr>
      </w:pPr>
      <w:r w:rsidRPr="00C435B1">
        <w:rPr>
          <w:rFonts w:ascii="Arial" w:hAnsi="Arial" w:cs="Arial"/>
          <w:sz w:val="20"/>
          <w:szCs w:val="20"/>
        </w:rPr>
        <w:t>Platelets seem to be on their own, sometimes appearing with RBC only (1798_1) or WBC only (3157_1) or with both.</w:t>
      </w:r>
    </w:p>
    <w:p w14:paraId="25FAC77C" w14:textId="77777777" w:rsidR="00A0643F" w:rsidRPr="00C435B1" w:rsidRDefault="00A0643F" w:rsidP="00A0643F">
      <w:pPr>
        <w:pStyle w:val="ListParagraph"/>
        <w:numPr>
          <w:ilvl w:val="0"/>
          <w:numId w:val="1"/>
        </w:numPr>
        <w:rPr>
          <w:rFonts w:ascii="Arial" w:hAnsi="Arial" w:cs="Arial"/>
          <w:sz w:val="20"/>
          <w:szCs w:val="20"/>
        </w:rPr>
      </w:pPr>
      <w:r w:rsidRPr="00C435B1">
        <w:rPr>
          <w:rFonts w:ascii="Arial" w:hAnsi="Arial" w:cs="Arial"/>
          <w:sz w:val="20"/>
          <w:szCs w:val="20"/>
        </w:rPr>
        <w:t>A lot of those phenotypic measurements are related by construction.</w:t>
      </w:r>
    </w:p>
    <w:p w14:paraId="20C3ACB3" w14:textId="77777777" w:rsidR="00A0643F" w:rsidRPr="00C435B1" w:rsidRDefault="00A0643F" w:rsidP="00A0643F">
      <w:pPr>
        <w:pStyle w:val="ListParagraph"/>
        <w:numPr>
          <w:ilvl w:val="0"/>
          <w:numId w:val="1"/>
        </w:numPr>
        <w:rPr>
          <w:rFonts w:ascii="Arial" w:hAnsi="Arial" w:cs="Arial"/>
          <w:sz w:val="20"/>
          <w:szCs w:val="20"/>
        </w:rPr>
      </w:pPr>
      <w:r w:rsidRPr="00C435B1">
        <w:rPr>
          <w:rFonts w:ascii="Arial" w:hAnsi="Arial" w:cs="Arial"/>
          <w:sz w:val="20"/>
          <w:szCs w:val="20"/>
        </w:rPr>
        <w:t>We are more confident in drawing conclusion (causal interpretation) when the cell count and the differential cell count are going in the same direction.</w:t>
      </w:r>
    </w:p>
    <w:p w14:paraId="0DC521E7" w14:textId="77777777" w:rsidR="00A0643F" w:rsidRDefault="00A0643F" w:rsidP="00A0643F">
      <w:pPr>
        <w:pStyle w:val="ListParagraph"/>
        <w:numPr>
          <w:ilvl w:val="0"/>
          <w:numId w:val="1"/>
        </w:numPr>
        <w:rPr>
          <w:rFonts w:ascii="Arial" w:hAnsi="Arial" w:cs="Arial"/>
          <w:sz w:val="20"/>
          <w:szCs w:val="20"/>
        </w:rPr>
      </w:pPr>
      <w:r w:rsidRPr="00C435B1">
        <w:rPr>
          <w:rFonts w:ascii="Arial" w:hAnsi="Arial" w:cs="Arial"/>
          <w:sz w:val="20"/>
          <w:szCs w:val="20"/>
        </w:rPr>
        <w:t>We are never certain of the pathway from one gene to a significant phenotype.</w:t>
      </w:r>
    </w:p>
    <w:p w14:paraId="5EB24A59" w14:textId="77777777" w:rsidR="005C4645" w:rsidRDefault="005C4645" w:rsidP="005C4645">
      <w:pPr>
        <w:ind w:left="360"/>
        <w:rPr>
          <w:rFonts w:ascii="Arial" w:hAnsi="Arial" w:cs="Arial"/>
          <w:sz w:val="20"/>
          <w:szCs w:val="20"/>
        </w:rPr>
      </w:pPr>
      <w:r>
        <w:rPr>
          <w:rFonts w:ascii="Arial" w:hAnsi="Arial" w:cs="Arial"/>
          <w:sz w:val="20"/>
          <w:szCs w:val="20"/>
          <w:u w:val="single"/>
        </w:rPr>
        <w:lastRenderedPageBreak/>
        <w:t>Sandwich estimator:</w:t>
      </w:r>
    </w:p>
    <w:p w14:paraId="78DB1158" w14:textId="77777777" w:rsidR="005C4645" w:rsidRPr="001D4818" w:rsidRDefault="005C4645" w:rsidP="005C4645">
      <w:pPr>
        <w:pStyle w:val="ListParagraph"/>
        <w:numPr>
          <w:ilvl w:val="0"/>
          <w:numId w:val="2"/>
        </w:numPr>
        <w:rPr>
          <w:rFonts w:ascii="Arial" w:hAnsi="Arial" w:cs="Arial"/>
          <w:sz w:val="20"/>
          <w:szCs w:val="20"/>
        </w:rPr>
      </w:pPr>
      <w:r w:rsidRPr="001D4818">
        <w:rPr>
          <w:rFonts w:ascii="Arial" w:hAnsi="Arial" w:cs="Arial"/>
          <w:sz w:val="20"/>
          <w:szCs w:val="20"/>
        </w:rPr>
        <w:t>Used to account for heteroscedasticity in OLS (and other) regression models.</w:t>
      </w:r>
    </w:p>
    <w:p w14:paraId="1C93D8D5" w14:textId="01C0A94F" w:rsidR="009435E7" w:rsidRPr="001D4818" w:rsidRDefault="009435E7" w:rsidP="009435E7">
      <w:pPr>
        <w:pStyle w:val="ListParagraph"/>
        <w:numPr>
          <w:ilvl w:val="0"/>
          <w:numId w:val="2"/>
        </w:numPr>
        <w:rPr>
          <w:rFonts w:ascii="Arial" w:eastAsia="Times New Roman" w:hAnsi="Arial" w:cs="Arial"/>
          <w:sz w:val="20"/>
          <w:szCs w:val="20"/>
        </w:rPr>
      </w:pPr>
      <w:r w:rsidRPr="001D4818">
        <w:rPr>
          <w:rFonts w:ascii="Arial" w:eastAsia="Times New Roman" w:hAnsi="Arial" w:cs="Arial"/>
          <w:sz w:val="20"/>
          <w:szCs w:val="20"/>
        </w:rPr>
        <w:t>New term</w:t>
      </w:r>
      <w:r w:rsidR="005C5195" w:rsidRPr="001D4818">
        <w:rPr>
          <w:rFonts w:ascii="Arial" w:eastAsia="Times New Roman" w:hAnsi="Arial" w:cs="Arial"/>
          <w:sz w:val="20"/>
          <w:szCs w:val="20"/>
        </w:rPr>
        <w:t xml:space="preserve"> G</w:t>
      </w:r>
      <w:r w:rsidRPr="001D4818">
        <w:rPr>
          <w:rFonts w:ascii="Arial" w:eastAsia="Times New Roman" w:hAnsi="Arial" w:cs="Arial"/>
          <w:sz w:val="20"/>
          <w:szCs w:val="20"/>
        </w:rPr>
        <w:t xml:space="preserve"> added in calculation for var(beta_OLS) in order to take into account variance heterogeneity.</w:t>
      </w:r>
    </w:p>
    <w:p w14:paraId="16A35E78" w14:textId="102DCFAA" w:rsidR="009435E7" w:rsidRPr="001D4818" w:rsidRDefault="005C5195" w:rsidP="009435E7">
      <w:pPr>
        <w:pStyle w:val="ListParagraph"/>
        <w:numPr>
          <w:ilvl w:val="0"/>
          <w:numId w:val="2"/>
        </w:numPr>
        <w:rPr>
          <w:rFonts w:ascii="Arial" w:eastAsia="Times New Roman" w:hAnsi="Arial" w:cs="Arial"/>
          <w:sz w:val="20"/>
          <w:szCs w:val="20"/>
        </w:rPr>
      </w:pPr>
      <w:r w:rsidRPr="001D4818">
        <w:rPr>
          <w:rFonts w:ascii="Arial" w:eastAsia="Times New Roman" w:hAnsi="Arial" w:cs="Arial"/>
          <w:sz w:val="20"/>
          <w:szCs w:val="20"/>
        </w:rPr>
        <w:t>New variance term calculated as (X</w:t>
      </w:r>
      <w:r w:rsidRPr="001D4818">
        <w:rPr>
          <w:rFonts w:ascii="Arial" w:eastAsia="Times New Roman" w:hAnsi="Arial" w:cs="Arial"/>
          <w:sz w:val="20"/>
          <w:szCs w:val="20"/>
        </w:rPr>
        <w:t/>
      </w:r>
      <w:r w:rsidRPr="001D4818">
        <w:rPr>
          <w:rFonts w:ascii="Arial" w:eastAsia="Times New Roman" w:hAnsi="Arial" w:cs="Arial"/>
          <w:sz w:val="20"/>
          <w:szCs w:val="20"/>
        </w:rPr>
        <w:softHyphen/>
      </w:r>
      <w:r w:rsidRPr="001D4818">
        <w:rPr>
          <w:rFonts w:ascii="Arial" w:eastAsia="Times New Roman" w:hAnsi="Arial" w:cs="Arial"/>
          <w:sz w:val="20"/>
          <w:szCs w:val="20"/>
        </w:rPr>
        <w:softHyphen/>
      </w:r>
      <w:r w:rsidRPr="001D4818">
        <w:rPr>
          <w:rFonts w:ascii="Arial" w:eastAsia="Times New Roman" w:hAnsi="Arial" w:cs="Arial"/>
          <w:sz w:val="20"/>
          <w:szCs w:val="20"/>
          <w:vertAlign w:val="superscript"/>
        </w:rPr>
        <w:t>T</w:t>
      </w:r>
      <w:r w:rsidRPr="001D4818">
        <w:rPr>
          <w:rFonts w:ascii="Arial" w:eastAsia="Times New Roman" w:hAnsi="Arial" w:cs="Arial"/>
          <w:sz w:val="20"/>
          <w:szCs w:val="20"/>
        </w:rPr>
        <w:t>X)</w:t>
      </w:r>
      <w:r w:rsidRPr="001D4818">
        <w:rPr>
          <w:rFonts w:ascii="Arial" w:eastAsia="Times New Roman" w:hAnsi="Arial" w:cs="Arial"/>
          <w:sz w:val="20"/>
          <w:szCs w:val="20"/>
          <w:vertAlign w:val="superscript"/>
        </w:rPr>
        <w:t>-1</w:t>
      </w:r>
      <w:r w:rsidRPr="001D4818">
        <w:rPr>
          <w:rFonts w:ascii="Arial" w:eastAsia="Times New Roman" w:hAnsi="Arial" w:cs="Arial"/>
          <w:sz w:val="20"/>
          <w:szCs w:val="20"/>
        </w:rPr>
        <w:t>X</w:t>
      </w:r>
      <w:r w:rsidRPr="001D4818">
        <w:rPr>
          <w:rFonts w:ascii="Arial" w:eastAsia="Times New Roman" w:hAnsi="Arial" w:cs="Arial"/>
          <w:sz w:val="20"/>
          <w:szCs w:val="20"/>
        </w:rPr>
        <w:t/>
      </w:r>
      <w:r w:rsidRPr="001D4818">
        <w:rPr>
          <w:rFonts w:ascii="Arial" w:eastAsia="Times New Roman" w:hAnsi="Arial" w:cs="Arial"/>
          <w:sz w:val="20"/>
          <w:szCs w:val="20"/>
          <w:vertAlign w:val="superscript"/>
        </w:rPr>
        <w:t>T</w:t>
      </w:r>
      <w:r w:rsidRPr="001D4818">
        <w:rPr>
          <w:rFonts w:ascii="Arial" w:eastAsia="Times New Roman" w:hAnsi="Arial" w:cs="Arial"/>
          <w:sz w:val="20"/>
          <w:szCs w:val="20"/>
        </w:rPr>
        <w:t>GX(X</w:t>
      </w:r>
      <w:r w:rsidRPr="001D4818">
        <w:rPr>
          <w:rFonts w:ascii="Arial" w:eastAsia="Times New Roman" w:hAnsi="Arial" w:cs="Arial"/>
          <w:sz w:val="20"/>
          <w:szCs w:val="20"/>
          <w:vertAlign w:val="superscript"/>
        </w:rPr>
        <w:t>T</w:t>
      </w:r>
      <w:r w:rsidR="009435E7" w:rsidRPr="001D4818">
        <w:rPr>
          <w:rFonts w:ascii="Arial" w:eastAsia="Times New Roman" w:hAnsi="Arial" w:cs="Arial"/>
          <w:sz w:val="20"/>
          <w:szCs w:val="20"/>
        </w:rPr>
        <w:t/>
      </w:r>
      <w:r w:rsidRPr="001D4818">
        <w:rPr>
          <w:rFonts w:ascii="Arial" w:eastAsia="Times New Roman" w:hAnsi="Arial" w:cs="Arial"/>
          <w:sz w:val="20"/>
          <w:szCs w:val="20"/>
        </w:rPr>
        <w:t>X)</w:t>
      </w:r>
      <w:r w:rsidRPr="001D4818">
        <w:rPr>
          <w:rFonts w:ascii="Arial" w:eastAsia="Times New Roman" w:hAnsi="Arial" w:cs="Arial"/>
          <w:sz w:val="20"/>
          <w:szCs w:val="20"/>
          <w:vertAlign w:val="superscript"/>
        </w:rPr>
        <w:t>-1</w:t>
      </w:r>
    </w:p>
    <w:p w14:paraId="07355515" w14:textId="65D4D0B3" w:rsidR="005C4645" w:rsidRDefault="001D4818" w:rsidP="005C4645">
      <w:pPr>
        <w:pStyle w:val="ListParagraph"/>
        <w:numPr>
          <w:ilvl w:val="0"/>
          <w:numId w:val="2"/>
        </w:numPr>
        <w:rPr>
          <w:rFonts w:ascii="Arial" w:hAnsi="Arial" w:cs="Arial"/>
          <w:sz w:val="20"/>
          <w:szCs w:val="20"/>
        </w:rPr>
      </w:pPr>
      <w:r w:rsidRPr="001D4818">
        <w:rPr>
          <w:rFonts w:ascii="Arial" w:hAnsi="Arial" w:cs="Arial"/>
          <w:sz w:val="20"/>
          <w:szCs w:val="20"/>
        </w:rPr>
        <w:t>Can be used to</w:t>
      </w:r>
      <w:r>
        <w:rPr>
          <w:rFonts w:ascii="Arial" w:hAnsi="Arial" w:cs="Arial"/>
          <w:sz w:val="20"/>
          <w:szCs w:val="20"/>
        </w:rPr>
        <w:t xml:space="preserve"> account for cluster effect, i.e. observations within clusters are dependent, observations outside of clusters are independent.</w:t>
      </w:r>
    </w:p>
    <w:p w14:paraId="07355515" w14:textId="65D4D0B3" w:rsidR="001D4818" w:rsidRDefault="001D4818" w:rsidP="005C4645">
      <w:pPr>
        <w:pStyle w:val="ListParagraph"/>
        <w:numPr>
          <w:ilvl w:val="0"/>
          <w:numId w:val="2"/>
        </w:numPr>
        <w:rPr>
          <w:rFonts w:ascii="Arial" w:hAnsi="Arial" w:cs="Arial"/>
          <w:sz w:val="20"/>
          <w:szCs w:val="20"/>
        </w:rPr>
      </w:pPr>
      <w:r>
        <w:rPr>
          <w:rFonts w:ascii="Arial" w:hAnsi="Arial" w:cs="Arial"/>
          <w:sz w:val="20"/>
          <w:szCs w:val="20"/>
        </w:rPr>
        <w:t>Terms within the matrix G are grouped together to estimate this cluster effect.</w:t>
      </w:r>
    </w:p>
    <w:p w14:paraId="19C2EB97" w14:textId="2C54DA06" w:rsidR="001D4818" w:rsidRPr="001D4818" w:rsidRDefault="00580A8B" w:rsidP="005C4645">
      <w:pPr>
        <w:pStyle w:val="ListParagraph"/>
        <w:numPr>
          <w:ilvl w:val="0"/>
          <w:numId w:val="2"/>
        </w:numPr>
        <w:rPr>
          <w:rFonts w:ascii="Arial" w:hAnsi="Arial" w:cs="Arial"/>
          <w:sz w:val="20"/>
          <w:szCs w:val="20"/>
        </w:rPr>
      </w:pPr>
      <w:r>
        <w:rPr>
          <w:rFonts w:ascii="Arial" w:hAnsi="Arial" w:cs="Arial"/>
          <w:sz w:val="20"/>
          <w:szCs w:val="20"/>
        </w:rPr>
        <w:t>Under regularity conditions yields variances for the MLE that are asymptotically efficient.</w:t>
      </w:r>
      <w:bookmarkStart w:id="0" w:name="_GoBack"/>
      <w:bookmarkEnd w:id="0"/>
    </w:p>
    <w:sectPr w:rsidR="001D4818" w:rsidRPr="001D4818" w:rsidSect="00A0643F">
      <w:pgSz w:w="12240" w:h="15840"/>
      <w:pgMar w:top="567" w:right="1134" w:bottom="68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836FC"/>
    <w:multiLevelType w:val="hybridMultilevel"/>
    <w:tmpl w:val="63C87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3959B2"/>
    <w:multiLevelType w:val="hybridMultilevel"/>
    <w:tmpl w:val="BAF4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3F"/>
    <w:rsid w:val="000A5390"/>
    <w:rsid w:val="001D4818"/>
    <w:rsid w:val="00580A8B"/>
    <w:rsid w:val="005C4645"/>
    <w:rsid w:val="005C5195"/>
    <w:rsid w:val="005C6101"/>
    <w:rsid w:val="0061461C"/>
    <w:rsid w:val="008B4F3C"/>
    <w:rsid w:val="009435E7"/>
    <w:rsid w:val="00A0643F"/>
    <w:rsid w:val="00C435B1"/>
    <w:rsid w:val="00FC7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664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6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4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6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8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671</Words>
  <Characters>3828</Characters>
  <Application>Microsoft Macintosh Word</Application>
  <DocSecurity>0</DocSecurity>
  <Lines>31</Lines>
  <Paragraphs>8</Paragraphs>
  <ScaleCrop>false</ScaleCrop>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Kevin</cp:lastModifiedBy>
  <cp:revision>5</cp:revision>
  <dcterms:created xsi:type="dcterms:W3CDTF">2016-07-25T21:14:00Z</dcterms:created>
  <dcterms:modified xsi:type="dcterms:W3CDTF">2016-07-26T01:47:00Z</dcterms:modified>
</cp:coreProperties>
</file>