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jc w:val="center"/>
      </w:pPr>
      <w:r>
        <w:rPr>
          <w:rFonts w:ascii="Calibri" w:hAnsi="Calibri"/>
          <w:b/>
          <w:i w:val="0"/>
          <w:color w:val="1F4D78"/>
          <w:sz w:val="52"/>
        </w:rPr>
        <w:t>VITEC SCOREBOARD</w:t>
      </w:r>
    </w:p>
    <w:p>
      <w:pPr>
        <w:spacing w:after="400"/>
        <w:jc w:val="center"/>
      </w:pPr>
      <w:r>
        <w:rPr>
          <w:rFonts w:ascii="Calibri" w:hAnsi="Calibri"/>
          <w:b w:val="0"/>
          <w:i w:val="0"/>
          <w:color w:val="2E74B5"/>
          <w:sz w:val="30"/>
        </w:rPr>
        <w:t>Deployment, Network, Operations, and Cybersecurity Guide</w:t>
      </w:r>
    </w:p>
    <w:tbl>
      <w:tblPr>
        <w:tblW w:type="dxa" w:w="9360"/>
        <w:jc w:val="center"/>
        <w:tblLayout w:type="fixed"/>
        <w:tblLook w:firstColumn="1" w:firstRow="1" w:lastColumn="0" w:lastRow="0" w:noHBand="0" w:noVBand="1" w:val="04A0"/>
        <w:tblInd w:w="120" w:type="dxa"/>
      </w:tblPr>
      <w:tblGrid>
        <w:gridCol w:w="2200"/>
        <w:gridCol w:w="4200"/>
        <w:gridCol w:w="2960"/>
      </w:tblGrid>
      <w:tr>
        <w:tc>
          <w:tcPr>
            <w:tcW w:type="dxa" w:w="2200"/>
            <w:vAlign w:val="center"/>
            <w:shd w:fill="E8EEF5"/>
          </w:tcPr>
          <w:p>
            <w:pPr>
              <w:spacing w:after="0"/>
            </w:pPr>
            <w:r>
              <w:rPr>
                <w:rFonts w:ascii="Calibri" w:hAnsi="Calibri"/>
                <w:b/>
                <w:i w:val="0"/>
                <w:color w:val="1F4D78"/>
                <w:sz w:val="19"/>
              </w:rPr>
              <w:t>Document status</w:t>
            </w:r>
          </w:p>
        </w:tc>
        <w:tc>
          <w:tcPr>
            <w:tcW w:type="dxa" w:w="4200"/>
            <w:vAlign w:val="center"/>
            <w:shd w:fill="E8EEF5"/>
          </w:tcPr>
          <w:p>
            <w:pPr>
              <w:spacing w:after="0"/>
            </w:pPr>
            <w:r>
              <w:rPr>
                <w:rFonts w:ascii="Calibri" w:hAnsi="Calibri"/>
                <w:b/>
                <w:i w:val="0"/>
                <w:color w:val="1F4D78"/>
                <w:sz w:val="19"/>
              </w:rPr>
              <w:t>Applies to</w:t>
            </w:r>
          </w:p>
        </w:tc>
        <w:tc>
          <w:tcPr>
            <w:tcW w:type="dxa" w:w="2960"/>
            <w:vAlign w:val="center"/>
            <w:shd w:fill="E8EEF5"/>
          </w:tcPr>
          <w:p>
            <w:pPr>
              <w:spacing w:after="0"/>
            </w:pPr>
            <w:r>
              <w:rPr>
                <w:rFonts w:ascii="Calibri" w:hAnsi="Calibri"/>
                <w:b/>
                <w:i w:val="0"/>
                <w:color w:val="1F4D78"/>
                <w:sz w:val="19"/>
              </w:rPr>
              <w:t>Last updated</w:t>
            </w:r>
          </w:p>
        </w:tc>
      </w:tr>
      <w:tr>
        <w:tc>
          <w:tcPr>
            <w:tcW w:type="dxa" w:w="2200"/>
            <w:vAlign w:val="center"/>
          </w:tcPr>
          <w:p>
            <w:pPr>
              <w:spacing w:after="0"/>
            </w:pPr>
            <w:r>
              <w:rPr>
                <w:rFonts w:ascii="Calibri" w:hAnsi="Calibri"/>
                <w:b w:val="0"/>
                <w:i w:val="0"/>
                <w:sz w:val="19"/>
              </w:rPr>
              <w:t>Operational reference</w:t>
            </w:r>
          </w:p>
        </w:tc>
        <w:tc>
          <w:tcPr>
            <w:tcW w:type="dxa" w:w="4200"/>
            <w:vAlign w:val="center"/>
          </w:tcPr>
          <w:p>
            <w:pPr>
              <w:spacing w:after="0"/>
            </w:pPr>
            <w:r>
              <w:rPr>
                <w:rFonts w:ascii="Calibri" w:hAnsi="Calibri"/>
                <w:b w:val="0"/>
                <w:i w:val="0"/>
                <w:sz w:val="19"/>
              </w:rPr>
              <w:t>Windows 11; Windows Server 2022 and 2025</w:t>
            </w:r>
          </w:p>
        </w:tc>
        <w:tc>
          <w:tcPr>
            <w:tcW w:type="dxa" w:w="2960"/>
            <w:vAlign w:val="center"/>
          </w:tcPr>
          <w:p>
            <w:pPr>
              <w:spacing w:after="0"/>
            </w:pPr>
            <w:r>
              <w:rPr>
                <w:rFonts w:ascii="Calibri" w:hAnsi="Calibri"/>
                <w:b w:val="0"/>
                <w:i w:val="0"/>
                <w:sz w:val="19"/>
              </w:rPr>
              <w:t>August 15, 2026</w:t>
            </w:r>
          </w:p>
        </w:tc>
      </w:tr>
    </w:tbl>
    <w:p>
      <w:pPr>
        <w:spacing w:after="120" w:line="300" w:lineRule="auto"/>
      </w:pPr>
      <w:r>
        <w:rPr>
          <w:rFonts w:ascii="Calibri" w:hAnsi="Calibri"/>
          <w:b/>
          <w:i w:val="0"/>
          <w:sz w:val="22"/>
        </w:rPr>
        <w:t>Purpose.</w:t>
      </w:r>
      <w:r>
        <w:rPr>
          <w:rFonts w:ascii="Calibri" w:hAnsi="Calibri"/>
          <w:b w:val="0"/>
          <w:i w:val="0"/>
          <w:sz w:val="22"/>
        </w:rPr>
        <w:t xml:space="preserve"> This guide identifies what VITEC Scoreboard installs, the services and processes it runs, the ports and protocols it uses, where it stores data, and the controls administrators should apply. It also defines a practical response process when a security vulnerability is reported.</w:t>
      </w:r>
    </w:p>
    <w:p>
      <w:pPr>
        <w:spacing w:after="120" w:line="300" w:lineRule="auto"/>
      </w:pPr>
      <w:r>
        <w:rPr>
          <w:rFonts w:ascii="Calibri" w:hAnsi="Calibri"/>
          <w:b/>
          <w:i w:val="0"/>
          <w:sz w:val="22"/>
        </w:rPr>
        <w:t>Security position.</w:t>
      </w:r>
      <w:r>
        <w:rPr>
          <w:rFonts w:ascii="Calibri" w:hAnsi="Calibri"/>
          <w:b w:val="0"/>
          <w:i w:val="0"/>
          <w:sz w:val="22"/>
        </w:rPr>
        <w:t xml:space="preserve"> VITEC Scoreboard is designed for a trusted internal network. The current web interface uses HTTP and does not provide application authentication or role-based access control. Do not publish it directly to the Internet or place it on an untrusted network segment.</w:t>
      </w:r>
    </w:p>
    <w:p>
      <w:pPr>
        <w:pStyle w:val="Heading1"/>
      </w:pPr>
      <w:r>
        <w:t>1. Installed Components and Processes</w:t>
      </w:r>
    </w:p>
    <w:tbl>
      <w:tblPr>
        <w:tblW w:type="dxa" w:w="9360"/>
        <w:jc w:val="center"/>
        <w:tblLayout w:type="fixed"/>
        <w:tblLook w:firstColumn="1" w:firstRow="1" w:lastColumn="0" w:lastRow="0" w:noHBand="0" w:noVBand="1" w:val="04A0"/>
        <w:tblInd w:w="120" w:type="dxa"/>
      </w:tblPr>
      <w:tblGrid>
        <w:gridCol w:w="2500"/>
        <w:gridCol w:w="2400"/>
        <w:gridCol w:w="4460"/>
      </w:tblGrid>
      <w:tr>
        <w:tc>
          <w:tcPr>
            <w:tcW w:type="dxa" w:w="2500"/>
            <w:vAlign w:val="center"/>
            <w:shd w:fill="E8EEF5"/>
          </w:tcPr>
          <w:p>
            <w:pPr>
              <w:spacing w:after="0"/>
            </w:pPr>
            <w:r>
              <w:rPr>
                <w:rFonts w:ascii="Calibri" w:hAnsi="Calibri"/>
                <w:b/>
                <w:i w:val="0"/>
                <w:color w:val="1F4D78"/>
                <w:sz w:val="19"/>
              </w:rPr>
              <w:t>Component</w:t>
            </w:r>
          </w:p>
        </w:tc>
        <w:tc>
          <w:tcPr>
            <w:tcW w:type="dxa" w:w="2400"/>
            <w:vAlign w:val="center"/>
            <w:shd w:fill="E8EEF5"/>
          </w:tcPr>
          <w:p>
            <w:pPr>
              <w:spacing w:after="0"/>
            </w:pPr>
            <w:r>
              <w:rPr>
                <w:rFonts w:ascii="Calibri" w:hAnsi="Calibri"/>
                <w:b/>
                <w:i w:val="0"/>
                <w:color w:val="1F4D78"/>
                <w:sz w:val="19"/>
              </w:rPr>
              <w:t>Windows identity / context</w:t>
            </w:r>
          </w:p>
        </w:tc>
        <w:tc>
          <w:tcPr>
            <w:tcW w:type="dxa" w:w="4460"/>
            <w:vAlign w:val="center"/>
            <w:shd w:fill="E8EEF5"/>
          </w:tcPr>
          <w:p>
            <w:pPr>
              <w:spacing w:after="0"/>
            </w:pPr>
            <w:r>
              <w:rPr>
                <w:rFonts w:ascii="Calibri" w:hAnsi="Calibri"/>
                <w:b/>
                <w:i w:val="0"/>
                <w:color w:val="1F4D78"/>
                <w:sz w:val="19"/>
              </w:rPr>
              <w:t>Purpose</w:t>
            </w:r>
          </w:p>
        </w:tc>
      </w:tr>
      <w:tr>
        <w:tc>
          <w:tcPr>
            <w:tcW w:type="dxa" w:w="2500"/>
            <w:vAlign w:val="center"/>
          </w:tcPr>
          <w:p>
            <w:pPr>
              <w:spacing w:after="0"/>
            </w:pPr>
            <w:r>
              <w:rPr>
                <w:rFonts w:ascii="Calibri" w:hAnsi="Calibri"/>
                <w:b w:val="0"/>
                <w:i w:val="0"/>
                <w:sz w:val="19"/>
              </w:rPr>
              <w:t>VITEC Scoreboard service (VITECScoreboard)</w:t>
            </w:r>
          </w:p>
        </w:tc>
        <w:tc>
          <w:tcPr>
            <w:tcW w:type="dxa" w:w="2400"/>
            <w:vAlign w:val="center"/>
          </w:tcPr>
          <w:p>
            <w:pPr>
              <w:spacing w:after="0"/>
            </w:pPr>
            <w:r>
              <w:rPr>
                <w:rFonts w:ascii="Calibri" w:hAnsi="Calibri"/>
                <w:b w:val="0"/>
                <w:i w:val="0"/>
                <w:sz w:val="19"/>
              </w:rPr>
              <w:t>LocalSystem</w:t>
            </w:r>
          </w:p>
        </w:tc>
        <w:tc>
          <w:tcPr>
            <w:tcW w:type="dxa" w:w="4460"/>
            <w:vAlign w:val="center"/>
          </w:tcPr>
          <w:p>
            <w:pPr>
              <w:spacing w:after="0"/>
            </w:pPr>
            <w:r>
              <w:rPr>
                <w:rFonts w:ascii="Calibri" w:hAnsi="Calibri"/>
                <w:b w:val="0"/>
                <w:i w:val="0"/>
                <w:sz w:val="19"/>
              </w:rPr>
              <w:t>Hosts the web interface, API, MLB data retrieval, settings, and PostgreSQL integration.</w:t>
            </w:r>
          </w:p>
        </w:tc>
      </w:tr>
      <w:tr>
        <w:tc>
          <w:tcPr>
            <w:tcW w:type="dxa" w:w="2500"/>
            <w:vAlign w:val="center"/>
          </w:tcPr>
          <w:p>
            <w:pPr>
              <w:spacing w:after="0"/>
            </w:pPr>
            <w:r>
              <w:rPr>
                <w:rFonts w:ascii="Calibri" w:hAnsi="Calibri"/>
                <w:b w:val="0"/>
                <w:i w:val="0"/>
                <w:sz w:val="19"/>
              </w:rPr>
              <w:t>VITEC.Scoreboard.exe</w:t>
            </w:r>
          </w:p>
        </w:tc>
        <w:tc>
          <w:tcPr>
            <w:tcW w:type="dxa" w:w="2400"/>
            <w:vAlign w:val="center"/>
          </w:tcPr>
          <w:p>
            <w:pPr>
              <w:spacing w:after="0"/>
            </w:pPr>
            <w:r>
              <w:rPr>
                <w:rFonts w:ascii="Calibri" w:hAnsi="Calibri"/>
                <w:b w:val="0"/>
                <w:i w:val="0"/>
                <w:sz w:val="19"/>
              </w:rPr>
              <w:t>Windows service process</w:t>
            </w:r>
          </w:p>
        </w:tc>
        <w:tc>
          <w:tcPr>
            <w:tcW w:type="dxa" w:w="4460"/>
            <w:vAlign w:val="center"/>
          </w:tcPr>
          <w:p>
            <w:pPr>
              <w:spacing w:after="0"/>
            </w:pPr>
            <w:r>
              <w:rPr>
                <w:rFonts w:ascii="Calibri" w:hAnsi="Calibri"/>
                <w:b w:val="0"/>
                <w:i w:val="0"/>
                <w:sz w:val="19"/>
              </w:rPr>
              <w:t>Branded application host shown in Task Manager.</w:t>
            </w:r>
          </w:p>
        </w:tc>
      </w:tr>
      <w:tr>
        <w:tc>
          <w:tcPr>
            <w:tcW w:type="dxa" w:w="2500"/>
            <w:vAlign w:val="center"/>
          </w:tcPr>
          <w:p>
            <w:pPr>
              <w:spacing w:after="0"/>
            </w:pPr>
            <w:r>
              <w:rPr>
                <w:rFonts w:ascii="Calibri" w:hAnsi="Calibri"/>
                <w:b w:val="0"/>
                <w:i w:val="0"/>
                <w:sz w:val="19"/>
              </w:rPr>
              <w:t>VITEC.VideoOutput.exe</w:t>
            </w:r>
          </w:p>
        </w:tc>
        <w:tc>
          <w:tcPr>
            <w:tcW w:type="dxa" w:w="2400"/>
            <w:vAlign w:val="center"/>
          </w:tcPr>
          <w:p>
            <w:pPr>
              <w:spacing w:after="0"/>
            </w:pPr>
            <w:r>
              <w:rPr>
                <w:rFonts w:ascii="Calibri" w:hAnsi="Calibri"/>
                <w:b w:val="0"/>
                <w:i w:val="0"/>
                <w:sz w:val="19"/>
              </w:rPr>
              <w:t>Signed-in interactive user</w:t>
            </w:r>
          </w:p>
        </w:tc>
        <w:tc>
          <w:tcPr>
            <w:tcW w:type="dxa" w:w="4460"/>
            <w:vAlign w:val="center"/>
          </w:tcPr>
          <w:p>
            <w:pPr>
              <w:spacing w:after="0"/>
            </w:pPr>
            <w:r>
              <w:rPr>
                <w:rFonts w:ascii="Calibri" w:hAnsi="Calibri"/>
                <w:b w:val="0"/>
                <w:i w:val="0"/>
                <w:sz w:val="19"/>
              </w:rPr>
              <w:t>Embedded off-screen Chromium renderer and FFmpeg video-output coordinator.</w:t>
            </w:r>
          </w:p>
        </w:tc>
      </w:tr>
      <w:tr>
        <w:tc>
          <w:tcPr>
            <w:tcW w:type="dxa" w:w="2500"/>
            <w:vAlign w:val="center"/>
          </w:tcPr>
          <w:p>
            <w:pPr>
              <w:spacing w:after="0"/>
            </w:pPr>
            <w:r>
              <w:rPr>
                <w:rFonts w:ascii="Calibri" w:hAnsi="Calibri"/>
                <w:b w:val="0"/>
                <w:i w:val="0"/>
                <w:sz w:val="19"/>
              </w:rPr>
              <w:t>CefSharp subprocesses</w:t>
            </w:r>
          </w:p>
        </w:tc>
        <w:tc>
          <w:tcPr>
            <w:tcW w:type="dxa" w:w="2400"/>
            <w:vAlign w:val="center"/>
          </w:tcPr>
          <w:p>
            <w:pPr>
              <w:spacing w:after="0"/>
            </w:pPr>
            <w:r>
              <w:rPr>
                <w:rFonts w:ascii="Calibri" w:hAnsi="Calibri"/>
                <w:b w:val="0"/>
                <w:i w:val="0"/>
                <w:sz w:val="19"/>
              </w:rPr>
              <w:t>Child processes of VITEC.VideoOutput.exe</w:t>
            </w:r>
          </w:p>
        </w:tc>
        <w:tc>
          <w:tcPr>
            <w:tcW w:type="dxa" w:w="4460"/>
            <w:vAlign w:val="center"/>
          </w:tcPr>
          <w:p>
            <w:pPr>
              <w:spacing w:after="0"/>
            </w:pPr>
            <w:r>
              <w:rPr>
                <w:rFonts w:ascii="Calibri" w:hAnsi="Calibri"/>
                <w:b w:val="0"/>
                <w:i w:val="0"/>
                <w:sz w:val="19"/>
              </w:rPr>
              <w:t>Render the selected GameCenter view without using the customer’s installed browser or browser profile.</w:t>
            </w:r>
          </w:p>
        </w:tc>
      </w:tr>
      <w:tr>
        <w:tc>
          <w:tcPr>
            <w:tcW w:type="dxa" w:w="2500"/>
            <w:vAlign w:val="center"/>
          </w:tcPr>
          <w:p>
            <w:pPr>
              <w:spacing w:after="0"/>
            </w:pPr>
            <w:r>
              <w:rPr>
                <w:rFonts w:ascii="Calibri" w:hAnsi="Calibri"/>
                <w:b w:val="0"/>
                <w:i w:val="0"/>
                <w:sz w:val="19"/>
              </w:rPr>
              <w:t>FFmpeg</w:t>
            </w:r>
          </w:p>
        </w:tc>
        <w:tc>
          <w:tcPr>
            <w:tcW w:type="dxa" w:w="2400"/>
            <w:vAlign w:val="center"/>
          </w:tcPr>
          <w:p>
            <w:pPr>
              <w:spacing w:after="0"/>
            </w:pPr>
            <w:r>
              <w:rPr>
                <w:rFonts w:ascii="Calibri" w:hAnsi="Calibri"/>
                <w:b w:val="0"/>
                <w:i w:val="0"/>
                <w:sz w:val="19"/>
              </w:rPr>
              <w:t>Child process started by the video helper</w:t>
            </w:r>
          </w:p>
        </w:tc>
        <w:tc>
          <w:tcPr>
            <w:tcW w:type="dxa" w:w="4460"/>
            <w:vAlign w:val="center"/>
          </w:tcPr>
          <w:p>
            <w:pPr>
              <w:spacing w:after="0"/>
            </w:pPr>
            <w:r>
              <w:rPr>
                <w:rFonts w:ascii="Calibri" w:hAnsi="Calibri"/>
                <w:b w:val="0"/>
                <w:i w:val="0"/>
                <w:sz w:val="19"/>
              </w:rPr>
              <w:t>Encodes H.264 MPEG transport stream for UDP multicast or SRT output.</w:t>
            </w:r>
          </w:p>
        </w:tc>
      </w:tr>
      <w:tr>
        <w:tc>
          <w:tcPr>
            <w:tcW w:type="dxa" w:w="2500"/>
            <w:vAlign w:val="center"/>
          </w:tcPr>
          <w:p>
            <w:pPr>
              <w:spacing w:after="0"/>
            </w:pPr>
            <w:r>
              <w:rPr>
                <w:rFonts w:ascii="Calibri" w:hAnsi="Calibri"/>
                <w:b w:val="0"/>
                <w:i w:val="0"/>
                <w:sz w:val="19"/>
              </w:rPr>
              <w:t>PostgreSQL</w:t>
            </w:r>
          </w:p>
        </w:tc>
        <w:tc>
          <w:tcPr>
            <w:tcW w:type="dxa" w:w="2400"/>
            <w:vAlign w:val="center"/>
          </w:tcPr>
          <w:p>
            <w:pPr>
              <w:spacing w:after="0"/>
            </w:pPr>
            <w:r>
              <w:rPr>
                <w:rFonts w:ascii="Calibri" w:hAnsi="Calibri"/>
                <w:b w:val="0"/>
                <w:i w:val="0"/>
                <w:sz w:val="19"/>
              </w:rPr>
              <w:t>Separate local or remote service</w:t>
            </w:r>
          </w:p>
        </w:tc>
        <w:tc>
          <w:tcPr>
            <w:tcW w:type="dxa" w:w="4460"/>
            <w:vAlign w:val="center"/>
          </w:tcPr>
          <w:p>
            <w:pPr>
              <w:spacing w:after="0"/>
            </w:pPr>
            <w:r>
              <w:rPr>
                <w:rFonts w:ascii="Calibri" w:hAnsi="Calibri"/>
                <w:b w:val="0"/>
                <w:i w:val="0"/>
                <w:sz w:val="19"/>
              </w:rPr>
              <w:t>Stores normalized historical game and pitch records when configured.</w:t>
            </w:r>
          </w:p>
        </w:tc>
      </w:tr>
    </w:tbl>
    <w:p>
      <w:pPr>
        <w:spacing w:after="120" w:line="300" w:lineRule="auto"/>
      </w:pPr>
      <w:r>
        <w:rPr>
          <w:rFonts w:ascii="Calibri" w:hAnsi="Calibri"/>
          <w:b w:val="0"/>
          <w:i w:val="0"/>
          <w:sz w:val="22"/>
        </w:rPr>
        <w:t>The service currently runs as LocalSystem. Microsoft describes LocalSystem as highly privileged. Treat the executable, installer, settings directory, and update source as security-sensitive. Do not install this service on a domain controller.</w:t>
      </w:r>
    </w:p>
    <w:p>
      <w:pPr>
        <w:pStyle w:val="Heading1"/>
      </w:pPr>
      <w:r>
        <w:t>2. Network Ports, Protocols, and Data Flows</w:t>
      </w:r>
    </w:p>
    <w:tbl>
      <w:tblPr>
        <w:tblW w:type="dxa" w:w="9360"/>
        <w:jc w:val="center"/>
        <w:tblLayout w:type="fixed"/>
        <w:tblLook w:firstColumn="1" w:firstRow="1" w:lastColumn="0" w:lastRow="0" w:noHBand="0" w:noVBand="1" w:val="04A0"/>
        <w:tblInd w:w="120" w:type="dxa"/>
      </w:tblPr>
      <w:tblGrid>
        <w:gridCol w:w="1300"/>
        <w:gridCol w:w="2250"/>
        <w:gridCol w:w="1850"/>
        <w:gridCol w:w="3960"/>
      </w:tblGrid>
      <w:tr>
        <w:tc>
          <w:tcPr>
            <w:tcW w:type="dxa" w:w="1300"/>
            <w:vAlign w:val="center"/>
            <w:shd w:fill="E8EEF5"/>
          </w:tcPr>
          <w:p>
            <w:pPr>
              <w:spacing w:after="0"/>
            </w:pPr>
            <w:r>
              <w:rPr>
                <w:rFonts w:ascii="Calibri" w:hAnsi="Calibri"/>
                <w:b/>
                <w:i w:val="0"/>
                <w:color w:val="1F4D78"/>
                <w:sz w:val="19"/>
              </w:rPr>
              <w:t>Direction</w:t>
            </w:r>
          </w:p>
        </w:tc>
        <w:tc>
          <w:tcPr>
            <w:tcW w:type="dxa" w:w="2250"/>
            <w:vAlign w:val="center"/>
            <w:shd w:fill="E8EEF5"/>
          </w:tcPr>
          <w:p>
            <w:pPr>
              <w:spacing w:after="0"/>
            </w:pPr>
            <w:r>
              <w:rPr>
                <w:rFonts w:ascii="Calibri" w:hAnsi="Calibri"/>
                <w:b/>
                <w:i w:val="0"/>
                <w:color w:val="1F4D78"/>
                <w:sz w:val="19"/>
              </w:rPr>
              <w:t>Default endpoint</w:t>
            </w:r>
          </w:p>
        </w:tc>
        <w:tc>
          <w:tcPr>
            <w:tcW w:type="dxa" w:w="1850"/>
            <w:vAlign w:val="center"/>
            <w:shd w:fill="E8EEF5"/>
          </w:tcPr>
          <w:p>
            <w:pPr>
              <w:spacing w:after="0"/>
            </w:pPr>
            <w:r>
              <w:rPr>
                <w:rFonts w:ascii="Calibri" w:hAnsi="Calibri"/>
                <w:b/>
                <w:i w:val="0"/>
                <w:color w:val="1F4D78"/>
                <w:sz w:val="19"/>
              </w:rPr>
              <w:t>Protocol</w:t>
            </w:r>
          </w:p>
        </w:tc>
        <w:tc>
          <w:tcPr>
            <w:tcW w:type="dxa" w:w="3960"/>
            <w:vAlign w:val="center"/>
            <w:shd w:fill="E8EEF5"/>
          </w:tcPr>
          <w:p>
            <w:pPr>
              <w:spacing w:after="0"/>
            </w:pPr>
            <w:r>
              <w:rPr>
                <w:rFonts w:ascii="Calibri" w:hAnsi="Calibri"/>
                <w:b/>
                <w:i w:val="0"/>
                <w:color w:val="1F4D78"/>
                <w:sz w:val="19"/>
              </w:rPr>
              <w:t>Required for</w:t>
            </w:r>
          </w:p>
        </w:tc>
      </w:tr>
      <w:tr>
        <w:tc>
          <w:tcPr>
            <w:tcW w:type="dxa" w:w="1300"/>
            <w:vAlign w:val="center"/>
          </w:tcPr>
          <w:p>
            <w:pPr>
              <w:spacing w:after="0"/>
            </w:pPr>
            <w:r>
              <w:rPr>
                <w:rFonts w:ascii="Calibri" w:hAnsi="Calibri"/>
                <w:b w:val="0"/>
                <w:i w:val="0"/>
                <w:sz w:val="19"/>
              </w:rPr>
              <w:t>Inbound</w:t>
            </w:r>
          </w:p>
        </w:tc>
        <w:tc>
          <w:tcPr>
            <w:tcW w:type="dxa" w:w="2250"/>
            <w:vAlign w:val="center"/>
          </w:tcPr>
          <w:p>
            <w:pPr>
              <w:spacing w:after="0"/>
            </w:pPr>
            <w:r>
              <w:rPr>
                <w:rFonts w:ascii="Calibri" w:hAnsi="Calibri"/>
                <w:b w:val="0"/>
                <w:i w:val="0"/>
                <w:sz w:val="19"/>
              </w:rPr>
              <w:t>TCP 5000 (configurable)</w:t>
            </w:r>
          </w:p>
        </w:tc>
        <w:tc>
          <w:tcPr>
            <w:tcW w:type="dxa" w:w="1850"/>
            <w:vAlign w:val="center"/>
          </w:tcPr>
          <w:p>
            <w:pPr>
              <w:spacing w:after="0"/>
            </w:pPr>
            <w:r>
              <w:rPr>
                <w:rFonts w:ascii="Calibri" w:hAnsi="Calibri"/>
                <w:b w:val="0"/>
                <w:i w:val="0"/>
                <w:sz w:val="19"/>
              </w:rPr>
              <w:t>HTTP</w:t>
            </w:r>
          </w:p>
        </w:tc>
        <w:tc>
          <w:tcPr>
            <w:tcW w:type="dxa" w:w="3960"/>
            <w:vAlign w:val="center"/>
          </w:tcPr>
          <w:p>
            <w:pPr>
              <w:spacing w:after="0"/>
            </w:pPr>
            <w:r>
              <w:rPr>
                <w:rFonts w:ascii="Calibri" w:hAnsi="Calibri"/>
                <w:b w:val="0"/>
                <w:i w:val="0"/>
                <w:sz w:val="19"/>
              </w:rPr>
              <w:t>Scoreboard, GameCenter, Settings, JSON/XML feeds, and local output pages.</w:t>
            </w:r>
          </w:p>
        </w:tc>
      </w:tr>
      <w:tr>
        <w:tc>
          <w:tcPr>
            <w:tcW w:type="dxa" w:w="1300"/>
            <w:vAlign w:val="center"/>
          </w:tcPr>
          <w:p>
            <w:pPr>
              <w:spacing w:after="0"/>
            </w:pPr>
            <w:r>
              <w:rPr>
                <w:rFonts w:ascii="Calibri" w:hAnsi="Calibri"/>
                <w:b w:val="0"/>
                <w:i w:val="0"/>
                <w:sz w:val="19"/>
              </w:rPr>
              <w:t>Outbound</w:t>
            </w:r>
          </w:p>
        </w:tc>
        <w:tc>
          <w:tcPr>
            <w:tcW w:type="dxa" w:w="2250"/>
            <w:vAlign w:val="center"/>
          </w:tcPr>
          <w:p>
            <w:pPr>
              <w:spacing w:after="0"/>
            </w:pPr>
            <w:r>
              <w:rPr>
                <w:rFonts w:ascii="Calibri" w:hAnsi="Calibri"/>
                <w:b w:val="0"/>
                <w:i w:val="0"/>
                <w:sz w:val="19"/>
              </w:rPr>
              <w:t>statsapi.mlb.com:443</w:t>
            </w:r>
          </w:p>
        </w:tc>
        <w:tc>
          <w:tcPr>
            <w:tcW w:type="dxa" w:w="1850"/>
            <w:vAlign w:val="center"/>
          </w:tcPr>
          <w:p>
            <w:pPr>
              <w:spacing w:after="0"/>
            </w:pPr>
            <w:r>
              <w:rPr>
                <w:rFonts w:ascii="Calibri" w:hAnsi="Calibri"/>
                <w:b w:val="0"/>
                <w:i w:val="0"/>
                <w:sz w:val="19"/>
              </w:rPr>
              <w:t>HTTPS/TLS</w:t>
            </w:r>
          </w:p>
        </w:tc>
        <w:tc>
          <w:tcPr>
            <w:tcW w:type="dxa" w:w="3960"/>
            <w:vAlign w:val="center"/>
          </w:tcPr>
          <w:p>
            <w:pPr>
              <w:spacing w:after="0"/>
            </w:pPr>
            <w:r>
              <w:rPr>
                <w:rFonts w:ascii="Calibri" w:hAnsi="Calibri"/>
                <w:b w:val="0"/>
                <w:i w:val="0"/>
                <w:sz w:val="19"/>
              </w:rPr>
              <w:t>MLB schedules, live feeds, statistics, and game data.</w:t>
            </w:r>
          </w:p>
        </w:tc>
      </w:tr>
      <w:tr>
        <w:tc>
          <w:tcPr>
            <w:tcW w:type="dxa" w:w="1300"/>
            <w:vAlign w:val="center"/>
          </w:tcPr>
          <w:p>
            <w:pPr>
              <w:spacing w:after="0"/>
            </w:pPr>
            <w:r>
              <w:rPr>
                <w:rFonts w:ascii="Calibri" w:hAnsi="Calibri"/>
                <w:b w:val="0"/>
                <w:i w:val="0"/>
                <w:sz w:val="19"/>
              </w:rPr>
              <w:t>Database</w:t>
            </w:r>
          </w:p>
        </w:tc>
        <w:tc>
          <w:tcPr>
            <w:tcW w:type="dxa" w:w="2250"/>
            <w:vAlign w:val="center"/>
          </w:tcPr>
          <w:p>
            <w:pPr>
              <w:spacing w:after="0"/>
            </w:pPr>
            <w:r>
              <w:rPr>
                <w:rFonts w:ascii="Calibri" w:hAnsi="Calibri"/>
                <w:b w:val="0"/>
                <w:i w:val="0"/>
                <w:sz w:val="19"/>
              </w:rPr>
              <w:t>localhost:5432 (configurable)</w:t>
            </w:r>
          </w:p>
        </w:tc>
        <w:tc>
          <w:tcPr>
            <w:tcW w:type="dxa" w:w="1850"/>
            <w:vAlign w:val="center"/>
          </w:tcPr>
          <w:p>
            <w:pPr>
              <w:spacing w:after="0"/>
            </w:pPr>
            <w:r>
              <w:rPr>
                <w:rFonts w:ascii="Calibri" w:hAnsi="Calibri"/>
                <w:b w:val="0"/>
                <w:i w:val="0"/>
                <w:sz w:val="19"/>
              </w:rPr>
              <w:t>PostgreSQL over TCP</w:t>
            </w:r>
          </w:p>
        </w:tc>
        <w:tc>
          <w:tcPr>
            <w:tcW w:type="dxa" w:w="3960"/>
            <w:vAlign w:val="center"/>
          </w:tcPr>
          <w:p>
            <w:pPr>
              <w:spacing w:after="0"/>
            </w:pPr>
            <w:r>
              <w:rPr>
                <w:rFonts w:ascii="Calibri" w:hAnsi="Calibri"/>
                <w:b w:val="0"/>
                <w:i w:val="0"/>
                <w:sz w:val="19"/>
              </w:rPr>
              <w:t>Historical game and pitch storage.</w:t>
            </w:r>
          </w:p>
        </w:tc>
      </w:tr>
      <w:tr>
        <w:tc>
          <w:tcPr>
            <w:tcW w:type="dxa" w:w="1300"/>
            <w:vAlign w:val="center"/>
          </w:tcPr>
          <w:p>
            <w:pPr>
              <w:spacing w:after="0"/>
            </w:pPr>
            <w:r>
              <w:rPr>
                <w:rFonts w:ascii="Calibri" w:hAnsi="Calibri"/>
                <w:b w:val="0"/>
                <w:i w:val="0"/>
                <w:sz w:val="19"/>
              </w:rPr>
              <w:t>Outbound video</w:t>
            </w:r>
          </w:p>
        </w:tc>
        <w:tc>
          <w:tcPr>
            <w:tcW w:type="dxa" w:w="2250"/>
            <w:vAlign w:val="center"/>
          </w:tcPr>
          <w:p>
            <w:pPr>
              <w:spacing w:after="0"/>
            </w:pPr>
            <w:r>
              <w:rPr>
                <w:rFonts w:ascii="Calibri" w:hAnsi="Calibri"/>
                <w:b w:val="0"/>
                <w:i w:val="0"/>
                <w:sz w:val="19"/>
              </w:rPr>
              <w:t>239.10.10.10:5004 (configurable)</w:t>
            </w:r>
          </w:p>
        </w:tc>
        <w:tc>
          <w:tcPr>
            <w:tcW w:type="dxa" w:w="1850"/>
            <w:vAlign w:val="center"/>
          </w:tcPr>
          <w:p>
            <w:pPr>
              <w:spacing w:after="0"/>
            </w:pPr>
            <w:r>
              <w:rPr>
                <w:rFonts w:ascii="Calibri" w:hAnsi="Calibri"/>
                <w:b w:val="0"/>
                <w:i w:val="0"/>
                <w:sz w:val="19"/>
              </w:rPr>
              <w:t>UDP multicast / MPEG-TS / H.264</w:t>
            </w:r>
          </w:p>
        </w:tc>
        <w:tc>
          <w:tcPr>
            <w:tcW w:type="dxa" w:w="3960"/>
            <w:vAlign w:val="center"/>
          </w:tcPr>
          <w:p>
            <w:pPr>
              <w:spacing w:after="0"/>
            </w:pPr>
            <w:r>
              <w:rPr>
                <w:rFonts w:ascii="Calibri" w:hAnsi="Calibri"/>
                <w:b w:val="0"/>
                <w:i w:val="0"/>
                <w:sz w:val="19"/>
              </w:rPr>
              <w:t>One-to-many video distribution on a managed network.</w:t>
            </w:r>
          </w:p>
        </w:tc>
      </w:tr>
      <w:tr>
        <w:tc>
          <w:tcPr>
            <w:tcW w:type="dxa" w:w="1300"/>
            <w:vAlign w:val="center"/>
          </w:tcPr>
          <w:p>
            <w:pPr>
              <w:spacing w:after="0"/>
            </w:pPr>
            <w:r>
              <w:rPr>
                <w:rFonts w:ascii="Calibri" w:hAnsi="Calibri"/>
                <w:b w:val="0"/>
                <w:i w:val="0"/>
                <w:sz w:val="19"/>
              </w:rPr>
              <w:t>Outbound video</w:t>
            </w:r>
          </w:p>
        </w:tc>
        <w:tc>
          <w:tcPr>
            <w:tcW w:type="dxa" w:w="2250"/>
            <w:vAlign w:val="center"/>
          </w:tcPr>
          <w:p>
            <w:pPr>
              <w:spacing w:after="0"/>
            </w:pPr>
            <w:r>
              <w:rPr>
                <w:rFonts w:ascii="Calibri" w:hAnsi="Calibri"/>
                <w:b w:val="0"/>
                <w:i w:val="0"/>
                <w:sz w:val="19"/>
              </w:rPr>
              <w:t>Administrator-defined host and port</w:t>
            </w:r>
          </w:p>
        </w:tc>
        <w:tc>
          <w:tcPr>
            <w:tcW w:type="dxa" w:w="1850"/>
            <w:vAlign w:val="center"/>
          </w:tcPr>
          <w:p>
            <w:pPr>
              <w:spacing w:after="0"/>
            </w:pPr>
            <w:r>
              <w:rPr>
                <w:rFonts w:ascii="Calibri" w:hAnsi="Calibri"/>
                <w:b w:val="0"/>
                <w:i w:val="0"/>
                <w:sz w:val="19"/>
              </w:rPr>
              <w:t>SRT caller over UDP</w:t>
            </w:r>
          </w:p>
        </w:tc>
        <w:tc>
          <w:tcPr>
            <w:tcW w:type="dxa" w:w="3960"/>
            <w:vAlign w:val="center"/>
          </w:tcPr>
          <w:p>
            <w:pPr>
              <w:spacing w:after="0"/>
            </w:pPr>
            <w:r>
              <w:rPr>
                <w:rFonts w:ascii="Calibri" w:hAnsi="Calibri"/>
                <w:b w:val="0"/>
                <w:i w:val="0"/>
                <w:sz w:val="19"/>
              </w:rPr>
              <w:t>Point-to-point or routed low-latency video distribution.</w:t>
            </w:r>
          </w:p>
        </w:tc>
      </w:tr>
    </w:tbl>
    <w:p>
      <w:pPr>
        <w:pStyle w:val="ListBullet"/>
        <w:spacing w:after="80" w:line="300" w:lineRule="auto"/>
        <w:ind w:left="540" w:hanging="271"/>
      </w:pPr>
      <w:r>
        <w:rPr>
          <w:rFonts w:ascii="Calibri" w:hAnsi="Calibri"/>
          <w:b w:val="0"/>
          <w:i w:val="0"/>
          <w:sz w:val="22"/>
        </w:rPr>
        <w:t>Restrict inbound TCP access to approved management, signage, and EZ TV subnets. Do not use an Any/Internet scope unless the network security design explicitly requires it.</w:t>
      </w:r>
    </w:p>
    <w:p>
      <w:pPr>
        <w:pStyle w:val="ListBullet"/>
        <w:spacing w:after="80" w:line="300" w:lineRule="auto"/>
        <w:ind w:left="540" w:hanging="271"/>
      </w:pPr>
      <w:r>
        <w:rPr>
          <w:rFonts w:ascii="Calibri" w:hAnsi="Calibri"/>
          <w:b w:val="0"/>
          <w:i w:val="0"/>
          <w:sz w:val="22"/>
        </w:rPr>
        <w:t>Keep Windows Defender Firewall enabled. Use Domain or Private profiles as appropriate and document every exception.</w:t>
      </w:r>
    </w:p>
    <w:p>
      <w:pPr>
        <w:pStyle w:val="ListBullet"/>
        <w:spacing w:after="80" w:line="300" w:lineRule="auto"/>
        <w:ind w:left="540" w:hanging="271"/>
      </w:pPr>
      <w:r>
        <w:rPr>
          <w:rFonts w:ascii="Calibri" w:hAnsi="Calibri"/>
          <w:b w:val="0"/>
          <w:i w:val="0"/>
          <w:sz w:val="22"/>
        </w:rPr>
        <w:t>Multicast and SRT destinations must be approved by the network owner. Multicast is not encrypted or authenticated; control it with VLANs, routing, IGMP controls, and receiver access.</w:t>
      </w:r>
    </w:p>
    <w:p>
      <w:pPr>
        <w:pStyle w:val="ListBullet"/>
        <w:spacing w:after="80" w:line="300" w:lineRule="auto"/>
        <w:ind w:left="540" w:hanging="271"/>
      </w:pPr>
      <w:r>
        <w:rPr>
          <w:rFonts w:ascii="Calibri" w:hAnsi="Calibri"/>
          <w:b w:val="0"/>
          <w:i w:val="0"/>
          <w:sz w:val="22"/>
        </w:rPr>
        <w:t>If remote PostgreSQL is used, restrict TCP 5432 to the application host and require PostgreSQL host-based access controls. Do not expose PostgreSQL to the Internet.</w:t>
      </w:r>
    </w:p>
    <w:p>
      <w:pPr>
        <w:pStyle w:val="Heading1"/>
      </w:pPr>
      <w:r>
        <w:t>3. Files, Credentials, and Permissions</w:t>
      </w:r>
    </w:p>
    <w:tbl>
      <w:tblPr>
        <w:tblW w:type="dxa" w:w="9360"/>
        <w:jc w:val="center"/>
        <w:tblLayout w:type="fixed"/>
        <w:tblLook w:firstColumn="1" w:firstRow="1" w:lastColumn="0" w:lastRow="0" w:noHBand="0" w:noVBand="1" w:val="04A0"/>
        <w:tblInd w:w="120" w:type="dxa"/>
      </w:tblPr>
      <w:tblGrid>
        <w:gridCol w:w="2600"/>
        <w:gridCol w:w="3100"/>
        <w:gridCol w:w="3660"/>
      </w:tblGrid>
      <w:tr>
        <w:tc>
          <w:tcPr>
            <w:tcW w:type="dxa" w:w="2600"/>
            <w:vAlign w:val="center"/>
            <w:shd w:fill="E8EEF5"/>
          </w:tcPr>
          <w:p>
            <w:pPr>
              <w:spacing w:after="0"/>
            </w:pPr>
            <w:r>
              <w:rPr>
                <w:rFonts w:ascii="Calibri" w:hAnsi="Calibri"/>
                <w:b/>
                <w:i w:val="0"/>
                <w:color w:val="1F4D78"/>
                <w:sz w:val="19"/>
              </w:rPr>
              <w:t>Location</w:t>
            </w:r>
          </w:p>
        </w:tc>
        <w:tc>
          <w:tcPr>
            <w:tcW w:type="dxa" w:w="3100"/>
            <w:vAlign w:val="center"/>
            <w:shd w:fill="E8EEF5"/>
          </w:tcPr>
          <w:p>
            <w:pPr>
              <w:spacing w:after="0"/>
            </w:pPr>
            <w:r>
              <w:rPr>
                <w:rFonts w:ascii="Calibri" w:hAnsi="Calibri"/>
                <w:b/>
                <w:i w:val="0"/>
                <w:color w:val="1F4D78"/>
                <w:sz w:val="19"/>
              </w:rPr>
              <w:t>Contents</w:t>
            </w:r>
          </w:p>
        </w:tc>
        <w:tc>
          <w:tcPr>
            <w:tcW w:type="dxa" w:w="3660"/>
            <w:vAlign w:val="center"/>
            <w:shd w:fill="E8EEF5"/>
          </w:tcPr>
          <w:p>
            <w:pPr>
              <w:spacing w:after="0"/>
            </w:pPr>
            <w:r>
              <w:rPr>
                <w:rFonts w:ascii="Calibri" w:hAnsi="Calibri"/>
                <w:b/>
                <w:i w:val="0"/>
                <w:color w:val="1F4D78"/>
                <w:sz w:val="19"/>
              </w:rPr>
              <w:t>Administrative guidance</w:t>
            </w:r>
          </w:p>
        </w:tc>
      </w:tr>
      <w:tr>
        <w:tc>
          <w:tcPr>
            <w:tcW w:type="dxa" w:w="2600"/>
            <w:vAlign w:val="center"/>
          </w:tcPr>
          <w:p>
            <w:pPr>
              <w:spacing w:after="0"/>
            </w:pPr>
            <w:r>
              <w:rPr>
                <w:rFonts w:ascii="Calibri" w:hAnsi="Calibri"/>
                <w:b w:val="0"/>
                <w:i w:val="0"/>
                <w:sz w:val="19"/>
              </w:rPr>
              <w:t>C:\Program Files\VITEC\Scoreboard</w:t>
            </w:r>
          </w:p>
        </w:tc>
        <w:tc>
          <w:tcPr>
            <w:tcW w:type="dxa" w:w="3100"/>
            <w:vAlign w:val="center"/>
          </w:tcPr>
          <w:p>
            <w:pPr>
              <w:spacing w:after="0"/>
            </w:pPr>
            <w:r>
              <w:rPr>
                <w:rFonts w:ascii="Calibri" w:hAnsi="Calibri"/>
                <w:b w:val="0"/>
                <w:i w:val="0"/>
                <w:sz w:val="19"/>
              </w:rPr>
              <w:t>Installed executables, libraries, renderer, scripts, and static web content.</w:t>
            </w:r>
          </w:p>
        </w:tc>
        <w:tc>
          <w:tcPr>
            <w:tcW w:type="dxa" w:w="3660"/>
            <w:vAlign w:val="center"/>
          </w:tcPr>
          <w:p>
            <w:pPr>
              <w:spacing w:after="0"/>
            </w:pPr>
            <w:r>
              <w:rPr>
                <w:rFonts w:ascii="Calibri" w:hAnsi="Calibri"/>
                <w:b w:val="0"/>
                <w:i w:val="0"/>
                <w:sz w:val="19"/>
              </w:rPr>
              <w:t>Administrators and SYSTEM should have write access; ordinary users should have read/execute only.</w:t>
            </w:r>
          </w:p>
        </w:tc>
      </w:tr>
      <w:tr>
        <w:tc>
          <w:tcPr>
            <w:tcW w:type="dxa" w:w="2600"/>
            <w:vAlign w:val="center"/>
          </w:tcPr>
          <w:p>
            <w:pPr>
              <w:spacing w:after="0"/>
            </w:pPr>
            <w:r>
              <w:rPr>
                <w:rFonts w:ascii="Calibri" w:hAnsi="Calibri"/>
                <w:b w:val="0"/>
                <w:i w:val="0"/>
                <w:sz w:val="19"/>
              </w:rPr>
              <w:t>C:\ProgramData\VITEC Scoreboard</w:t>
            </w:r>
          </w:p>
        </w:tc>
        <w:tc>
          <w:tcPr>
            <w:tcW w:type="dxa" w:w="3100"/>
            <w:vAlign w:val="center"/>
          </w:tcPr>
          <w:p>
            <w:pPr>
              <w:spacing w:after="0"/>
            </w:pPr>
            <w:r>
              <w:rPr>
                <w:rFonts w:ascii="Calibri" w:hAnsi="Calibri"/>
                <w:b w:val="0"/>
                <w:i w:val="0"/>
                <w:sz w:val="19"/>
              </w:rPr>
              <w:t>vssettings.json, logs, video settings, themes, uploaded advertising, and workspace templates.</w:t>
            </w:r>
          </w:p>
        </w:tc>
        <w:tc>
          <w:tcPr>
            <w:tcW w:type="dxa" w:w="3660"/>
            <w:vAlign w:val="center"/>
          </w:tcPr>
          <w:p>
            <w:pPr>
              <w:spacing w:after="0"/>
            </w:pPr>
            <w:r>
              <w:rPr>
                <w:rFonts w:ascii="Calibri" w:hAnsi="Calibri"/>
                <w:b w:val="0"/>
                <w:i w:val="0"/>
                <w:sz w:val="19"/>
              </w:rPr>
              <w:t>Back up as configuration data. Restrict write access to administrators, SYSTEM, and the required application identities.</w:t>
            </w:r>
          </w:p>
        </w:tc>
      </w:tr>
      <w:tr>
        <w:tc>
          <w:tcPr>
            <w:tcW w:type="dxa" w:w="2600"/>
            <w:vAlign w:val="center"/>
          </w:tcPr>
          <w:p>
            <w:pPr>
              <w:spacing w:after="0"/>
            </w:pPr>
            <w:r>
              <w:rPr>
                <w:rFonts w:ascii="Calibri" w:hAnsi="Calibri"/>
                <w:b w:val="0"/>
                <w:i w:val="0"/>
                <w:sz w:val="19"/>
              </w:rPr>
              <w:t>PostgreSQL database</w:t>
            </w:r>
          </w:p>
        </w:tc>
        <w:tc>
          <w:tcPr>
            <w:tcW w:type="dxa" w:w="3100"/>
            <w:vAlign w:val="center"/>
          </w:tcPr>
          <w:p>
            <w:pPr>
              <w:spacing w:after="0"/>
            </w:pPr>
            <w:r>
              <w:rPr>
                <w:rFonts w:ascii="Calibri" w:hAnsi="Calibri"/>
                <w:b w:val="0"/>
                <w:i w:val="0"/>
                <w:sz w:val="19"/>
              </w:rPr>
              <w:t>Normalized game and pitch records and PostgreSQL accounts.</w:t>
            </w:r>
          </w:p>
        </w:tc>
        <w:tc>
          <w:tcPr>
            <w:tcW w:type="dxa" w:w="3660"/>
            <w:vAlign w:val="center"/>
          </w:tcPr>
          <w:p>
            <w:pPr>
              <w:spacing w:after="0"/>
            </w:pPr>
            <w:r>
              <w:rPr>
                <w:rFonts w:ascii="Calibri" w:hAnsi="Calibri"/>
                <w:b w:val="0"/>
                <w:i w:val="0"/>
                <w:sz w:val="19"/>
              </w:rPr>
              <w:t>Use a unique 12–128 character password with uppercase, lowercase, number, and an approved special character; rotate when exposure is suspected.</w:t>
            </w:r>
          </w:p>
        </w:tc>
      </w:tr>
      <w:tr>
        <w:tc>
          <w:tcPr>
            <w:tcW w:type="dxa" w:w="2600"/>
            <w:vAlign w:val="center"/>
          </w:tcPr>
          <w:p>
            <w:pPr>
              <w:spacing w:after="0"/>
            </w:pPr>
            <w:r>
              <w:rPr>
                <w:rFonts w:ascii="Calibri" w:hAnsi="Calibri"/>
                <w:b w:val="0"/>
                <w:i w:val="0"/>
                <w:sz w:val="19"/>
              </w:rPr>
              <w:t>C:\ffmpeg\bin\ffmpeg.exe (default)</w:t>
            </w:r>
          </w:p>
        </w:tc>
        <w:tc>
          <w:tcPr>
            <w:tcW w:type="dxa" w:w="3100"/>
            <w:vAlign w:val="center"/>
          </w:tcPr>
          <w:p>
            <w:pPr>
              <w:spacing w:after="0"/>
            </w:pPr>
            <w:r>
              <w:rPr>
                <w:rFonts w:ascii="Calibri" w:hAnsi="Calibri"/>
                <w:b w:val="0"/>
                <w:i w:val="0"/>
                <w:sz w:val="19"/>
              </w:rPr>
              <w:t>Administrator-supplied FFmpeg executable.</w:t>
            </w:r>
          </w:p>
        </w:tc>
        <w:tc>
          <w:tcPr>
            <w:tcW w:type="dxa" w:w="3660"/>
            <w:vAlign w:val="center"/>
          </w:tcPr>
          <w:p>
            <w:pPr>
              <w:spacing w:after="0"/>
            </w:pPr>
            <w:r>
              <w:rPr>
                <w:rFonts w:ascii="Calibri" w:hAnsi="Calibri"/>
                <w:b w:val="0"/>
                <w:i w:val="0"/>
                <w:sz w:val="19"/>
              </w:rPr>
              <w:t>Use an approved build, verify its origin/hash, and patch it with the rest of the application stack.</w:t>
            </w:r>
          </w:p>
        </w:tc>
      </w:tr>
    </w:tbl>
    <w:p>
      <w:pPr>
        <w:spacing w:after="120" w:line="300" w:lineRule="auto"/>
      </w:pPr>
      <w:r>
        <w:rPr>
          <w:rFonts w:ascii="Calibri" w:hAnsi="Calibri"/>
          <w:b w:val="0"/>
          <w:i w:val="0"/>
          <w:sz w:val="22"/>
        </w:rPr>
        <w:t>Credential warning. The PostgreSQL connection string, including the application password, is currently stored in the local settings file. Protect that file with NTFS permissions and backups appropriate for confidential configuration. A future hardening release should migrate the password to Windows protected storage.</w:t>
      </w:r>
    </w:p>
    <w:p>
      <w:pPr>
        <w:pStyle w:val="Heading1"/>
      </w:pPr>
      <w:r>
        <w:t>4. Deployment Checklist</w:t>
      </w:r>
    </w:p>
    <w:p>
      <w:pPr>
        <w:pStyle w:val="ListBullet"/>
        <w:spacing w:after="80" w:line="300" w:lineRule="auto"/>
        <w:ind w:left="540" w:hanging="271"/>
      </w:pPr>
      <w:r>
        <w:rPr>
          <w:rFonts w:ascii="Calibri" w:hAnsi="Calibri"/>
          <w:b w:val="0"/>
          <w:i w:val="0"/>
          <w:sz w:val="22"/>
        </w:rPr>
        <w:t>Use a supported, fully patched Windows 11, Windows Server 2022, or Windows Server 2025 system.</w:t>
      </w:r>
    </w:p>
    <w:p>
      <w:pPr>
        <w:pStyle w:val="ListBullet"/>
        <w:spacing w:after="80" w:line="300" w:lineRule="auto"/>
        <w:ind w:left="540" w:hanging="271"/>
      </w:pPr>
      <w:r>
        <w:rPr>
          <w:rFonts w:ascii="Calibri" w:hAnsi="Calibri"/>
          <w:b w:val="0"/>
          <w:i w:val="0"/>
          <w:sz w:val="22"/>
        </w:rPr>
        <w:t>Install with an approved administrator account and verify the MSI and executable signatures when production signing is available.</w:t>
      </w:r>
    </w:p>
    <w:p>
      <w:pPr>
        <w:pStyle w:val="ListBullet"/>
        <w:spacing w:after="80" w:line="300" w:lineRule="auto"/>
        <w:ind w:left="540" w:hanging="271"/>
      </w:pPr>
      <w:r>
        <w:rPr>
          <w:rFonts w:ascii="Calibri" w:hAnsi="Calibri"/>
          <w:b w:val="0"/>
          <w:i w:val="0"/>
          <w:sz w:val="22"/>
        </w:rPr>
        <w:t>Place the server on a trusted application or signage VLAN; never on a public-facing interface or domain controller.</w:t>
      </w:r>
    </w:p>
    <w:p>
      <w:pPr>
        <w:pStyle w:val="ListBullet"/>
        <w:spacing w:after="80" w:line="300" w:lineRule="auto"/>
        <w:ind w:left="540" w:hanging="271"/>
      </w:pPr>
      <w:r>
        <w:rPr>
          <w:rFonts w:ascii="Calibri" w:hAnsi="Calibri"/>
          <w:b w:val="0"/>
          <w:i w:val="0"/>
          <w:sz w:val="22"/>
        </w:rPr>
        <w:t>Confirm the VITECScoreboard service is Automatic and running, and confirm its recovery actions restart it after failure.</w:t>
      </w:r>
    </w:p>
    <w:p>
      <w:pPr>
        <w:pStyle w:val="ListBullet"/>
        <w:spacing w:after="80" w:line="300" w:lineRule="auto"/>
        <w:ind w:left="540" w:hanging="271"/>
      </w:pPr>
      <w:r>
        <w:rPr>
          <w:rFonts w:ascii="Calibri" w:hAnsi="Calibri"/>
          <w:b w:val="0"/>
          <w:i w:val="0"/>
          <w:sz w:val="22"/>
        </w:rPr>
        <w:t>Set the Webpage Port, then restart the service and update the firewall rule if the port changes.</w:t>
      </w:r>
    </w:p>
    <w:p>
      <w:pPr>
        <w:pStyle w:val="ListBullet"/>
        <w:spacing w:after="80" w:line="300" w:lineRule="auto"/>
        <w:ind w:left="540" w:hanging="271"/>
      </w:pPr>
      <w:r>
        <w:rPr>
          <w:rFonts w:ascii="Calibri" w:hAnsi="Calibri"/>
          <w:b w:val="0"/>
          <w:i w:val="0"/>
          <w:sz w:val="22"/>
        </w:rPr>
        <w:t>Restrict inbound firewall scope to approved subnets. Validate outbound HTTPS to statsapi.mlb.com.</w:t>
      </w:r>
    </w:p>
    <w:p>
      <w:pPr>
        <w:pStyle w:val="ListBullet"/>
        <w:spacing w:after="80" w:line="300" w:lineRule="auto"/>
        <w:ind w:left="540" w:hanging="271"/>
      </w:pPr>
      <w:r>
        <w:rPr>
          <w:rFonts w:ascii="Calibri" w:hAnsi="Calibri"/>
          <w:b w:val="0"/>
          <w:i w:val="0"/>
          <w:sz w:val="22"/>
        </w:rPr>
        <w:t>Provision the vsapp PostgreSQL account with a unique password. Do not reuse the PostgreSQL administrator password.</w:t>
      </w:r>
    </w:p>
    <w:p>
      <w:pPr>
        <w:pStyle w:val="ListBullet"/>
        <w:spacing w:after="80" w:line="300" w:lineRule="auto"/>
        <w:ind w:left="540" w:hanging="271"/>
      </w:pPr>
      <w:r>
        <w:rPr>
          <w:rFonts w:ascii="Calibri" w:hAnsi="Calibri"/>
          <w:b w:val="0"/>
          <w:i w:val="0"/>
          <w:sz w:val="22"/>
        </w:rPr>
        <w:t>Verify JSON/XML feeds, GameCenter, database status, video preview, UDP multicast/SRT output, and log creation.</w:t>
      </w:r>
    </w:p>
    <w:p>
      <w:pPr>
        <w:pStyle w:val="ListBullet"/>
        <w:spacing w:after="80" w:line="300" w:lineRule="auto"/>
        <w:ind w:left="540" w:hanging="271"/>
      </w:pPr>
      <w:r>
        <w:rPr>
          <w:rFonts w:ascii="Calibri" w:hAnsi="Calibri"/>
          <w:b w:val="0"/>
          <w:i w:val="0"/>
          <w:sz w:val="22"/>
        </w:rPr>
        <w:t>Record the installed VITEC Scoreboard, .NET, CefSharp/Chromium, FFmpeg, PostgreSQL, and Npgsql versions in the customer asset inventory.</w:t>
      </w:r>
    </w:p>
    <w:p>
      <w:pPr>
        <w:pStyle w:val="ListBullet"/>
        <w:spacing w:after="80" w:line="300" w:lineRule="auto"/>
        <w:ind w:left="540" w:hanging="271"/>
      </w:pPr>
      <w:r>
        <w:rPr>
          <w:rFonts w:ascii="Calibri" w:hAnsi="Calibri"/>
          <w:b w:val="0"/>
          <w:i w:val="0"/>
          <w:sz w:val="22"/>
        </w:rPr>
        <w:t>Back up configuration and database data before upgrades; retain a tested rollback installer.</w:t>
      </w:r>
    </w:p>
    <w:p>
      <w:pPr>
        <w:pStyle w:val="Heading1"/>
      </w:pPr>
      <w:r>
        <w:t>5. Current Security Limitations and Compensating Controls</w:t>
      </w:r>
    </w:p>
    <w:tbl>
      <w:tblPr>
        <w:tblW w:type="dxa" w:w="9360"/>
        <w:jc w:val="center"/>
        <w:tblLayout w:type="fixed"/>
        <w:tblLook w:firstColumn="1" w:firstRow="1" w:lastColumn="0" w:lastRow="0" w:noHBand="0" w:noVBand="1" w:val="04A0"/>
        <w:tblInd w:w="120" w:type="dxa"/>
      </w:tblPr>
      <w:tblGrid>
        <w:gridCol w:w="3300"/>
        <w:gridCol w:w="6060"/>
      </w:tblGrid>
      <w:tr>
        <w:tc>
          <w:tcPr>
            <w:tcW w:type="dxa" w:w="3300"/>
            <w:vAlign w:val="center"/>
            <w:shd w:fill="E8EEF5"/>
          </w:tcPr>
          <w:p>
            <w:pPr>
              <w:spacing w:after="0"/>
            </w:pPr>
            <w:r>
              <w:rPr>
                <w:rFonts w:ascii="Calibri" w:hAnsi="Calibri"/>
                <w:b/>
                <w:i w:val="0"/>
                <w:color w:val="1F4D78"/>
                <w:sz w:val="19"/>
              </w:rPr>
              <w:t>Current limitation</w:t>
            </w:r>
          </w:p>
        </w:tc>
        <w:tc>
          <w:tcPr>
            <w:tcW w:type="dxa" w:w="6060"/>
            <w:vAlign w:val="center"/>
            <w:shd w:fill="E8EEF5"/>
          </w:tcPr>
          <w:p>
            <w:pPr>
              <w:spacing w:after="0"/>
            </w:pPr>
            <w:r>
              <w:rPr>
                <w:rFonts w:ascii="Calibri" w:hAnsi="Calibri"/>
                <w:b/>
                <w:i w:val="0"/>
                <w:color w:val="1F4D78"/>
                <w:sz w:val="19"/>
              </w:rPr>
              <w:t>Compensating control</w:t>
            </w:r>
          </w:p>
        </w:tc>
      </w:tr>
      <w:tr>
        <w:tc>
          <w:tcPr>
            <w:tcW w:type="dxa" w:w="3300"/>
            <w:vAlign w:val="center"/>
          </w:tcPr>
          <w:p>
            <w:pPr>
              <w:spacing w:after="0"/>
            </w:pPr>
            <w:r>
              <w:rPr>
                <w:rFonts w:ascii="Calibri" w:hAnsi="Calibri"/>
                <w:b w:val="0"/>
                <w:i w:val="0"/>
                <w:sz w:val="19"/>
              </w:rPr>
              <w:t>HTTP only; no built-in TLS</w:t>
            </w:r>
          </w:p>
        </w:tc>
        <w:tc>
          <w:tcPr>
            <w:tcW w:type="dxa" w:w="6060"/>
            <w:vAlign w:val="center"/>
          </w:tcPr>
          <w:p>
            <w:pPr>
              <w:spacing w:after="0"/>
            </w:pPr>
            <w:r>
              <w:rPr>
                <w:rFonts w:ascii="Calibri" w:hAnsi="Calibri"/>
                <w:b w:val="0"/>
                <w:i w:val="0"/>
                <w:sz w:val="19"/>
              </w:rPr>
              <w:t>Use only on a trusted segmented network. If remote access is required, place an approved authenticated TLS reverse proxy in front of the application.</w:t>
            </w:r>
          </w:p>
        </w:tc>
      </w:tr>
      <w:tr>
        <w:tc>
          <w:tcPr>
            <w:tcW w:type="dxa" w:w="3300"/>
            <w:vAlign w:val="center"/>
          </w:tcPr>
          <w:p>
            <w:pPr>
              <w:spacing w:after="0"/>
            </w:pPr>
            <w:r>
              <w:rPr>
                <w:rFonts w:ascii="Calibri" w:hAnsi="Calibri"/>
                <w:b w:val="0"/>
                <w:i w:val="0"/>
                <w:sz w:val="19"/>
              </w:rPr>
              <w:t>No application login or role-based access control</w:t>
            </w:r>
          </w:p>
        </w:tc>
        <w:tc>
          <w:tcPr>
            <w:tcW w:type="dxa" w:w="6060"/>
            <w:vAlign w:val="center"/>
          </w:tcPr>
          <w:p>
            <w:pPr>
              <w:spacing w:after="0"/>
            </w:pPr>
            <w:r>
              <w:rPr>
                <w:rFonts w:ascii="Calibri" w:hAnsi="Calibri"/>
                <w:b w:val="0"/>
                <w:i w:val="0"/>
                <w:sz w:val="19"/>
              </w:rPr>
              <w:t>Restrict port 5000 (or the configured port) by firewall/subnet. Limit access to the Settings page to authorized administrator workstations.</w:t>
            </w:r>
          </w:p>
        </w:tc>
      </w:tr>
      <w:tr>
        <w:tc>
          <w:tcPr>
            <w:tcW w:type="dxa" w:w="3300"/>
            <w:vAlign w:val="center"/>
          </w:tcPr>
          <w:p>
            <w:pPr>
              <w:spacing w:after="0"/>
            </w:pPr>
            <w:r>
              <w:rPr>
                <w:rFonts w:ascii="Calibri" w:hAnsi="Calibri"/>
                <w:b w:val="0"/>
                <w:i w:val="0"/>
                <w:sz w:val="19"/>
              </w:rPr>
              <w:t>Service runs as LocalSystem</w:t>
            </w:r>
          </w:p>
        </w:tc>
        <w:tc>
          <w:tcPr>
            <w:tcW w:type="dxa" w:w="6060"/>
            <w:vAlign w:val="center"/>
          </w:tcPr>
          <w:p>
            <w:pPr>
              <w:spacing w:after="0"/>
            </w:pPr>
            <w:r>
              <w:rPr>
                <w:rFonts w:ascii="Calibri" w:hAnsi="Calibri"/>
                <w:b w:val="0"/>
                <w:i w:val="0"/>
                <w:sz w:val="19"/>
              </w:rPr>
              <w:t>Protect the installer and install directory, monitor service changes, and do not deploy on a domain controller. Evaluate a lower-privilege service identity in a future release.</w:t>
            </w:r>
          </w:p>
        </w:tc>
      </w:tr>
      <w:tr>
        <w:tc>
          <w:tcPr>
            <w:tcW w:type="dxa" w:w="3300"/>
            <w:vAlign w:val="center"/>
          </w:tcPr>
          <w:p>
            <w:pPr>
              <w:spacing w:after="0"/>
            </w:pPr>
            <w:r>
              <w:rPr>
                <w:rFonts w:ascii="Calibri" w:hAnsi="Calibri"/>
                <w:b w:val="0"/>
                <w:i w:val="0"/>
                <w:sz w:val="19"/>
              </w:rPr>
              <w:t>Configuration contains a database credential</w:t>
            </w:r>
          </w:p>
        </w:tc>
        <w:tc>
          <w:tcPr>
            <w:tcW w:type="dxa" w:w="6060"/>
            <w:vAlign w:val="center"/>
          </w:tcPr>
          <w:p>
            <w:pPr>
              <w:spacing w:after="0"/>
            </w:pPr>
            <w:r>
              <w:rPr>
                <w:rFonts w:ascii="Calibri" w:hAnsi="Calibri"/>
                <w:b w:val="0"/>
                <w:i w:val="0"/>
                <w:sz w:val="19"/>
              </w:rPr>
              <w:t>Apply restrictive NTFS ACLs, limit backup access, rotate on suspected exposure, and plan migration to DPAPI or another Windows secret store.</w:t>
            </w:r>
          </w:p>
        </w:tc>
      </w:tr>
      <w:tr>
        <w:tc>
          <w:tcPr>
            <w:tcW w:type="dxa" w:w="3300"/>
            <w:vAlign w:val="center"/>
          </w:tcPr>
          <w:p>
            <w:pPr>
              <w:spacing w:after="0"/>
            </w:pPr>
            <w:r>
              <w:rPr>
                <w:rFonts w:ascii="Calibri" w:hAnsi="Calibri"/>
                <w:b w:val="0"/>
                <w:i w:val="0"/>
                <w:sz w:val="19"/>
              </w:rPr>
              <w:t>UDP multicast is unencrypted</w:t>
            </w:r>
          </w:p>
        </w:tc>
        <w:tc>
          <w:tcPr>
            <w:tcW w:type="dxa" w:w="6060"/>
            <w:vAlign w:val="center"/>
          </w:tcPr>
          <w:p>
            <w:pPr>
              <w:spacing w:after="0"/>
            </w:pPr>
            <w:r>
              <w:rPr>
                <w:rFonts w:ascii="Calibri" w:hAnsi="Calibri"/>
                <w:b w:val="0"/>
                <w:i w:val="0"/>
                <w:sz w:val="19"/>
              </w:rPr>
              <w:t>Use trusted VLANs, multicast boundaries, IGMP controls, and approved receivers. Use an appropriately secured SRT design when content must cross routed or untrusted links.</w:t>
            </w:r>
          </w:p>
        </w:tc>
      </w:tr>
      <w:tr>
        <w:tc>
          <w:tcPr>
            <w:tcW w:type="dxa" w:w="3300"/>
            <w:vAlign w:val="center"/>
          </w:tcPr>
          <w:p>
            <w:pPr>
              <w:spacing w:after="0"/>
            </w:pPr>
            <w:r>
              <w:rPr>
                <w:rFonts w:ascii="Calibri" w:hAnsi="Calibri"/>
                <w:b w:val="0"/>
                <w:i w:val="0"/>
                <w:sz w:val="19"/>
              </w:rPr>
              <w:t>Uploaded image/video media is processed and served locally</w:t>
            </w:r>
          </w:p>
        </w:tc>
        <w:tc>
          <w:tcPr>
            <w:tcW w:type="dxa" w:w="6060"/>
            <w:vAlign w:val="center"/>
          </w:tcPr>
          <w:p>
            <w:pPr>
              <w:spacing w:after="0"/>
            </w:pPr>
            <w:r>
              <w:rPr>
                <w:rFonts w:ascii="Calibri" w:hAnsi="Calibri"/>
                <w:b w:val="0"/>
                <w:i w:val="0"/>
                <w:sz w:val="19"/>
              </w:rPr>
              <w:t>Permit uploads only from trusted administrators. Scan media with endpoint protection and retain the documented 250 MB application limit.</w:t>
            </w:r>
          </w:p>
        </w:tc>
      </w:tr>
      <w:tr>
        <w:tc>
          <w:tcPr>
            <w:tcW w:type="dxa" w:w="3300"/>
            <w:vAlign w:val="center"/>
          </w:tcPr>
          <w:p>
            <w:pPr>
              <w:spacing w:after="0"/>
            </w:pPr>
            <w:r>
              <w:rPr>
                <w:rFonts w:ascii="Calibri" w:hAnsi="Calibri"/>
                <w:b w:val="0"/>
                <w:i w:val="0"/>
                <w:sz w:val="19"/>
              </w:rPr>
              <w:t>Production signing may not yet be established</w:t>
            </w:r>
          </w:p>
        </w:tc>
        <w:tc>
          <w:tcPr>
            <w:tcW w:type="dxa" w:w="6060"/>
            <w:vAlign w:val="center"/>
          </w:tcPr>
          <w:p>
            <w:pPr>
              <w:spacing w:after="0"/>
            </w:pPr>
            <w:r>
              <w:rPr>
                <w:rFonts w:ascii="Calibri" w:hAnsi="Calibri"/>
                <w:b w:val="0"/>
                <w:i w:val="0"/>
                <w:sz w:val="19"/>
              </w:rPr>
              <w:t>Distribute through an approved internal channel, record hashes, retain release provenance, and add Authenticode/MSI signing before broad customer deployment.</w:t>
            </w:r>
          </w:p>
        </w:tc>
      </w:tr>
    </w:tbl>
    <w:p>
      <w:pPr>
        <w:pStyle w:val="Heading1"/>
      </w:pPr>
      <w:r>
        <w:t>6. Vulnerability Management</w:t>
      </w:r>
    </w:p>
    <w:p>
      <w:pPr>
        <w:spacing w:after="120" w:line="300" w:lineRule="auto"/>
      </w:pPr>
      <w:r>
        <w:rPr>
          <w:rFonts w:ascii="Calibri" w:hAnsi="Calibri"/>
          <w:b w:val="0"/>
          <w:i w:val="0"/>
          <w:sz w:val="22"/>
        </w:rPr>
        <w:t>Monitor the complete software bill of materials, not only the VITEC application. At minimum, track VITEC Scoreboard, .NET, ASP.NET Core, NuGet dependencies, CefSharp and its Chromium runtime, FFmpeg, PostgreSQL, Npgsql, WiX installer tooling, and the Windows operating system.</w:t>
      </w:r>
    </w:p>
    <w:tbl>
      <w:tblPr>
        <w:tblW w:type="dxa" w:w="9360"/>
        <w:jc w:val="center"/>
        <w:tblLayout w:type="fixed"/>
        <w:tblLook w:firstColumn="1" w:firstRow="1" w:lastColumn="0" w:lastRow="0" w:noHBand="0" w:noVBand="1" w:val="04A0"/>
        <w:tblInd w:w="120" w:type="dxa"/>
      </w:tblPr>
      <w:tblGrid>
        <w:gridCol w:w="4300"/>
        <w:gridCol w:w="5060"/>
      </w:tblGrid>
      <w:tr>
        <w:tc>
          <w:tcPr>
            <w:tcW w:type="dxa" w:w="4300"/>
            <w:vAlign w:val="center"/>
            <w:shd w:fill="E8EEF5"/>
          </w:tcPr>
          <w:p>
            <w:pPr>
              <w:spacing w:after="0"/>
            </w:pPr>
            <w:r>
              <w:rPr>
                <w:rFonts w:ascii="Calibri" w:hAnsi="Calibri"/>
                <w:b/>
                <w:i w:val="0"/>
                <w:color w:val="1F4D78"/>
                <w:sz w:val="19"/>
              </w:rPr>
              <w:t>Activity</w:t>
            </w:r>
          </w:p>
        </w:tc>
        <w:tc>
          <w:tcPr>
            <w:tcW w:type="dxa" w:w="5060"/>
            <w:vAlign w:val="center"/>
            <w:shd w:fill="E8EEF5"/>
          </w:tcPr>
          <w:p>
            <w:pPr>
              <w:spacing w:after="0"/>
            </w:pPr>
            <w:r>
              <w:rPr>
                <w:rFonts w:ascii="Calibri" w:hAnsi="Calibri"/>
                <w:b/>
                <w:i w:val="0"/>
                <w:color w:val="1F4D78"/>
                <w:sz w:val="19"/>
              </w:rPr>
              <w:t>Recommended cadence</w:t>
            </w:r>
          </w:p>
        </w:tc>
      </w:tr>
      <w:tr>
        <w:tc>
          <w:tcPr>
            <w:tcW w:type="dxa" w:w="4300"/>
            <w:vAlign w:val="center"/>
          </w:tcPr>
          <w:p>
            <w:pPr>
              <w:spacing w:after="0"/>
            </w:pPr>
            <w:r>
              <w:rPr>
                <w:rFonts w:ascii="Calibri" w:hAnsi="Calibri"/>
                <w:b w:val="0"/>
                <w:i w:val="0"/>
                <w:sz w:val="19"/>
              </w:rPr>
              <w:t>Windows, Defender, and supported Microsoft product updates</w:t>
            </w:r>
          </w:p>
        </w:tc>
        <w:tc>
          <w:tcPr>
            <w:tcW w:type="dxa" w:w="5060"/>
            <w:vAlign w:val="center"/>
          </w:tcPr>
          <w:p>
            <w:pPr>
              <w:spacing w:after="0"/>
            </w:pPr>
            <w:r>
              <w:rPr>
                <w:rFonts w:ascii="Calibri" w:hAnsi="Calibri"/>
                <w:b w:val="0"/>
                <w:i w:val="0"/>
                <w:sz w:val="19"/>
              </w:rPr>
              <w:t>Follow organizational patch policy; expedite actively exploited or critical vulnerabilities.</w:t>
            </w:r>
          </w:p>
        </w:tc>
      </w:tr>
      <w:tr>
        <w:tc>
          <w:tcPr>
            <w:tcW w:type="dxa" w:w="4300"/>
            <w:vAlign w:val="center"/>
          </w:tcPr>
          <w:p>
            <w:pPr>
              <w:spacing w:after="0"/>
            </w:pPr>
            <w:r>
              <w:rPr>
                <w:rFonts w:ascii="Calibri" w:hAnsi="Calibri"/>
                <w:b w:val="0"/>
                <w:i w:val="0"/>
                <w:sz w:val="19"/>
              </w:rPr>
              <w:t>PostgreSQL security page and supported minor releases</w:t>
            </w:r>
          </w:p>
        </w:tc>
        <w:tc>
          <w:tcPr>
            <w:tcW w:type="dxa" w:w="5060"/>
            <w:vAlign w:val="center"/>
          </w:tcPr>
          <w:p>
            <w:pPr>
              <w:spacing w:after="0"/>
            </w:pPr>
            <w:r>
              <w:rPr>
                <w:rFonts w:ascii="Calibri" w:hAnsi="Calibri"/>
                <w:b w:val="0"/>
                <w:i w:val="0"/>
                <w:sz w:val="19"/>
              </w:rPr>
              <w:t>Review at every PostgreSQL security release and at least monthly.</w:t>
            </w:r>
          </w:p>
        </w:tc>
      </w:tr>
      <w:tr>
        <w:tc>
          <w:tcPr>
            <w:tcW w:type="dxa" w:w="4300"/>
            <w:vAlign w:val="center"/>
          </w:tcPr>
          <w:p>
            <w:pPr>
              <w:spacing w:after="0"/>
            </w:pPr>
            <w:r>
              <w:rPr>
                <w:rFonts w:ascii="Calibri" w:hAnsi="Calibri"/>
                <w:b w:val="0"/>
                <w:i w:val="0"/>
                <w:sz w:val="19"/>
              </w:rPr>
              <w:t>.NET and NuGet security advisories</w:t>
            </w:r>
          </w:p>
        </w:tc>
        <w:tc>
          <w:tcPr>
            <w:tcW w:type="dxa" w:w="5060"/>
            <w:vAlign w:val="center"/>
          </w:tcPr>
          <w:p>
            <w:pPr>
              <w:spacing w:after="0"/>
            </w:pPr>
            <w:r>
              <w:rPr>
                <w:rFonts w:ascii="Calibri" w:hAnsi="Calibri"/>
                <w:b w:val="0"/>
                <w:i w:val="0"/>
                <w:sz w:val="19"/>
              </w:rPr>
              <w:t>Review with each monthly Microsoft security release and before every VITEC release.</w:t>
            </w:r>
          </w:p>
        </w:tc>
      </w:tr>
      <w:tr>
        <w:tc>
          <w:tcPr>
            <w:tcW w:type="dxa" w:w="4300"/>
            <w:vAlign w:val="center"/>
          </w:tcPr>
          <w:p>
            <w:pPr>
              <w:spacing w:after="0"/>
            </w:pPr>
            <w:r>
              <w:rPr>
                <w:rFonts w:ascii="Calibri" w:hAnsi="Calibri"/>
                <w:b w:val="0"/>
                <w:i w:val="0"/>
                <w:sz w:val="19"/>
              </w:rPr>
              <w:t>Chromium/CefSharp and FFmpeg security updates</w:t>
            </w:r>
          </w:p>
        </w:tc>
        <w:tc>
          <w:tcPr>
            <w:tcW w:type="dxa" w:w="5060"/>
            <w:vAlign w:val="center"/>
          </w:tcPr>
          <w:p>
            <w:pPr>
              <w:spacing w:after="0"/>
            </w:pPr>
            <w:r>
              <w:rPr>
                <w:rFonts w:ascii="Calibri" w:hAnsi="Calibri"/>
                <w:b w:val="0"/>
                <w:i w:val="0"/>
                <w:sz w:val="19"/>
              </w:rPr>
              <w:t>Review at least monthly and before every VITEC release.</w:t>
            </w:r>
          </w:p>
        </w:tc>
      </w:tr>
      <w:tr>
        <w:tc>
          <w:tcPr>
            <w:tcW w:type="dxa" w:w="4300"/>
            <w:vAlign w:val="center"/>
          </w:tcPr>
          <w:p>
            <w:pPr>
              <w:spacing w:after="0"/>
            </w:pPr>
            <w:r>
              <w:rPr>
                <w:rFonts w:ascii="Calibri" w:hAnsi="Calibri"/>
                <w:b w:val="0"/>
                <w:i w:val="0"/>
                <w:sz w:val="19"/>
              </w:rPr>
              <w:t>Dependency/SBOM scan</w:t>
            </w:r>
          </w:p>
        </w:tc>
        <w:tc>
          <w:tcPr>
            <w:tcW w:type="dxa" w:w="5060"/>
            <w:vAlign w:val="center"/>
          </w:tcPr>
          <w:p>
            <w:pPr>
              <w:spacing w:after="0"/>
            </w:pPr>
            <w:r>
              <w:rPr>
                <w:rFonts w:ascii="Calibri" w:hAnsi="Calibri"/>
                <w:b w:val="0"/>
                <w:i w:val="0"/>
                <w:sz w:val="19"/>
              </w:rPr>
              <w:t>Every build and release candidate; retain results with release records.</w:t>
            </w:r>
          </w:p>
        </w:tc>
      </w:tr>
      <w:tr>
        <w:tc>
          <w:tcPr>
            <w:tcW w:type="dxa" w:w="4300"/>
            <w:vAlign w:val="center"/>
          </w:tcPr>
          <w:p>
            <w:pPr>
              <w:spacing w:after="0"/>
            </w:pPr>
            <w:r>
              <w:rPr>
                <w:rFonts w:ascii="Calibri" w:hAnsi="Calibri"/>
                <w:b w:val="0"/>
                <w:i w:val="0"/>
                <w:sz w:val="19"/>
              </w:rPr>
              <w:t>External attack-surface and firewall review</w:t>
            </w:r>
          </w:p>
        </w:tc>
        <w:tc>
          <w:tcPr>
            <w:tcW w:type="dxa" w:w="5060"/>
            <w:vAlign w:val="center"/>
          </w:tcPr>
          <w:p>
            <w:pPr>
              <w:spacing w:after="0"/>
            </w:pPr>
            <w:r>
              <w:rPr>
                <w:rFonts w:ascii="Calibri" w:hAnsi="Calibri"/>
                <w:b w:val="0"/>
                <w:i w:val="0"/>
                <w:sz w:val="19"/>
              </w:rPr>
              <w:t>At installation, after network changes, and at least annually.</w:t>
            </w:r>
          </w:p>
        </w:tc>
      </w:tr>
    </w:tbl>
    <w:p>
      <w:pPr>
        <w:pStyle w:val="ListBullet"/>
        <w:spacing w:after="80" w:line="300" w:lineRule="auto"/>
        <w:ind w:left="540" w:hanging="271"/>
      </w:pPr>
      <w:r>
        <w:rPr>
          <w:rFonts w:ascii="Calibri" w:hAnsi="Calibri"/>
          <w:b w:val="0"/>
          <w:i w:val="0"/>
          <w:sz w:val="22"/>
        </w:rPr>
        <w:t>Create and retain an SBOM for every released installer.</w:t>
      </w:r>
    </w:p>
    <w:p>
      <w:pPr>
        <w:pStyle w:val="ListBullet"/>
        <w:spacing w:after="80" w:line="300" w:lineRule="auto"/>
        <w:ind w:left="540" w:hanging="271"/>
      </w:pPr>
      <w:r>
        <w:rPr>
          <w:rFonts w:ascii="Calibri" w:hAnsi="Calibri"/>
          <w:b w:val="0"/>
          <w:i w:val="0"/>
          <w:sz w:val="22"/>
        </w:rPr>
        <w:t>Record each finding with affected versions, exposure, severity, owner, mitigation, target release, and verification evidence.</w:t>
      </w:r>
    </w:p>
    <w:p>
      <w:pPr>
        <w:pStyle w:val="ListBullet"/>
        <w:spacing w:after="80" w:line="300" w:lineRule="auto"/>
        <w:ind w:left="540" w:hanging="271"/>
      </w:pPr>
      <w:r>
        <w:rPr>
          <w:rFonts w:ascii="Calibri" w:hAnsi="Calibri"/>
          <w:b w:val="0"/>
          <w:i w:val="0"/>
          <w:sz w:val="22"/>
        </w:rPr>
        <w:t>Do not rely on version age alone. Evaluate reachability: exposed web routes, file upload paths, renderer content, network listeners, service privilege, and database permissions.</w:t>
      </w:r>
    </w:p>
    <w:p>
      <w:pPr>
        <w:pStyle w:val="ListBullet"/>
        <w:spacing w:after="80" w:line="300" w:lineRule="auto"/>
        <w:ind w:left="540" w:hanging="271"/>
      </w:pPr>
      <w:r>
        <w:rPr>
          <w:rFonts w:ascii="Calibri" w:hAnsi="Calibri"/>
          <w:b w:val="0"/>
          <w:i w:val="0"/>
          <w:sz w:val="22"/>
        </w:rPr>
        <w:t>Test security updates in a representative Windows 11 and Windows Server environment before customer rollout.</w:t>
      </w:r>
    </w:p>
    <w:p>
      <w:pPr>
        <w:pStyle w:val="Heading1"/>
      </w:pPr>
      <w:r>
        <w:t>7. Security Incident Response</w:t>
      </w:r>
    </w:p>
    <w:tbl>
      <w:tblPr>
        <w:tblW w:type="dxa" w:w="9360"/>
        <w:jc w:val="center"/>
        <w:tblLayout w:type="fixed"/>
        <w:tblLook w:firstColumn="1" w:firstRow="1" w:lastColumn="0" w:lastRow="0" w:noHBand="0" w:noVBand="1" w:val="04A0"/>
        <w:tblInd w:w="120" w:type="dxa"/>
      </w:tblPr>
      <w:tblGrid>
        <w:gridCol w:w="1500"/>
        <w:gridCol w:w="7860"/>
      </w:tblGrid>
      <w:tr>
        <w:tc>
          <w:tcPr>
            <w:tcW w:type="dxa" w:w="1500"/>
            <w:vAlign w:val="center"/>
            <w:shd w:fill="E8EEF5"/>
          </w:tcPr>
          <w:p>
            <w:pPr>
              <w:spacing w:after="0"/>
            </w:pPr>
            <w:r>
              <w:rPr>
                <w:rFonts w:ascii="Calibri" w:hAnsi="Calibri"/>
                <w:b/>
                <w:i w:val="0"/>
                <w:color w:val="1F4D78"/>
                <w:sz w:val="19"/>
              </w:rPr>
              <w:t>Phase</w:t>
            </w:r>
          </w:p>
        </w:tc>
        <w:tc>
          <w:tcPr>
            <w:tcW w:type="dxa" w:w="7860"/>
            <w:vAlign w:val="center"/>
            <w:shd w:fill="E8EEF5"/>
          </w:tcPr>
          <w:p>
            <w:pPr>
              <w:spacing w:after="0"/>
            </w:pPr>
            <w:r>
              <w:rPr>
                <w:rFonts w:ascii="Calibri" w:hAnsi="Calibri"/>
                <w:b/>
                <w:i w:val="0"/>
                <w:color w:val="1F4D78"/>
                <w:sz w:val="19"/>
              </w:rPr>
              <w:t>Required actions</w:t>
            </w:r>
          </w:p>
        </w:tc>
      </w:tr>
      <w:tr>
        <w:tc>
          <w:tcPr>
            <w:tcW w:type="dxa" w:w="1500"/>
            <w:vAlign w:val="center"/>
          </w:tcPr>
          <w:p>
            <w:pPr>
              <w:spacing w:after="0"/>
            </w:pPr>
            <w:r>
              <w:rPr>
                <w:rFonts w:ascii="Calibri" w:hAnsi="Calibri"/>
                <w:b w:val="0"/>
                <w:i w:val="0"/>
                <w:sz w:val="19"/>
              </w:rPr>
              <w:t>Identify</w:t>
            </w:r>
          </w:p>
        </w:tc>
        <w:tc>
          <w:tcPr>
            <w:tcW w:type="dxa" w:w="7860"/>
            <w:vAlign w:val="center"/>
          </w:tcPr>
          <w:p>
            <w:pPr>
              <w:spacing w:after="0"/>
            </w:pPr>
            <w:r>
              <w:rPr>
                <w:rFonts w:ascii="Calibri" w:hAnsi="Calibri"/>
                <w:b w:val="0"/>
                <w:i w:val="0"/>
                <w:sz w:val="19"/>
              </w:rPr>
              <w:t>Capture product version, host, service/process state, logs, firewall rules, installed dependency versions, indicators, and the time the issue began.</w:t>
            </w:r>
          </w:p>
        </w:tc>
      </w:tr>
      <w:tr>
        <w:tc>
          <w:tcPr>
            <w:tcW w:type="dxa" w:w="1500"/>
            <w:vAlign w:val="center"/>
          </w:tcPr>
          <w:p>
            <w:pPr>
              <w:spacing w:after="0"/>
            </w:pPr>
            <w:r>
              <w:rPr>
                <w:rFonts w:ascii="Calibri" w:hAnsi="Calibri"/>
                <w:b w:val="0"/>
                <w:i w:val="0"/>
                <w:sz w:val="19"/>
              </w:rPr>
              <w:t>Contain</w:t>
            </w:r>
          </w:p>
        </w:tc>
        <w:tc>
          <w:tcPr>
            <w:tcW w:type="dxa" w:w="7860"/>
            <w:vAlign w:val="center"/>
          </w:tcPr>
          <w:p>
            <w:pPr>
              <w:spacing w:after="0"/>
            </w:pPr>
            <w:r>
              <w:rPr>
                <w:rFonts w:ascii="Calibri" w:hAnsi="Calibri"/>
                <w:b w:val="0"/>
                <w:i w:val="0"/>
                <w:sz w:val="19"/>
              </w:rPr>
              <w:t>If active compromise is suspected, isolate the host or restrict its firewall access. Stop video output and the VITECScoreboard service if needed. Preserve logs and configuration before changing state.</w:t>
            </w:r>
          </w:p>
        </w:tc>
      </w:tr>
      <w:tr>
        <w:tc>
          <w:tcPr>
            <w:tcW w:type="dxa" w:w="1500"/>
            <w:vAlign w:val="center"/>
          </w:tcPr>
          <w:p>
            <w:pPr>
              <w:spacing w:after="0"/>
            </w:pPr>
            <w:r>
              <w:rPr>
                <w:rFonts w:ascii="Calibri" w:hAnsi="Calibri"/>
                <w:b w:val="0"/>
                <w:i w:val="0"/>
                <w:sz w:val="19"/>
              </w:rPr>
              <w:t>Assess</w:t>
            </w:r>
          </w:p>
        </w:tc>
        <w:tc>
          <w:tcPr>
            <w:tcW w:type="dxa" w:w="7860"/>
            <w:vAlign w:val="center"/>
          </w:tcPr>
          <w:p>
            <w:pPr>
              <w:spacing w:after="0"/>
            </w:pPr>
            <w:r>
              <w:rPr>
                <w:rFonts w:ascii="Calibri" w:hAnsi="Calibri"/>
                <w:b w:val="0"/>
                <w:i w:val="0"/>
                <w:sz w:val="19"/>
              </w:rPr>
              <w:t>Determine affected versions, exploit prerequisites, data/credential exposure, lateral-movement risk, and whether LocalSystem or PostgreSQL privileges were reached.</w:t>
            </w:r>
          </w:p>
        </w:tc>
      </w:tr>
      <w:tr>
        <w:tc>
          <w:tcPr>
            <w:tcW w:type="dxa" w:w="1500"/>
            <w:vAlign w:val="center"/>
          </w:tcPr>
          <w:p>
            <w:pPr>
              <w:spacing w:after="0"/>
            </w:pPr>
            <w:r>
              <w:rPr>
                <w:rFonts w:ascii="Calibri" w:hAnsi="Calibri"/>
                <w:b w:val="0"/>
                <w:i w:val="0"/>
                <w:sz w:val="19"/>
              </w:rPr>
              <w:t>Remediate</w:t>
            </w:r>
          </w:p>
        </w:tc>
        <w:tc>
          <w:tcPr>
            <w:tcW w:type="dxa" w:w="7860"/>
            <w:vAlign w:val="center"/>
          </w:tcPr>
          <w:p>
            <w:pPr>
              <w:spacing w:after="0"/>
            </w:pPr>
            <w:r>
              <w:rPr>
                <w:rFonts w:ascii="Calibri" w:hAnsi="Calibri"/>
                <w:b w:val="0"/>
                <w:i w:val="0"/>
                <w:sz w:val="19"/>
              </w:rPr>
              <w:t>Patch or upgrade affected components, rotate PostgreSQL and related credentials, remove unauthorized files/accounts/rules, and restore from trusted media where required.</w:t>
            </w:r>
          </w:p>
        </w:tc>
      </w:tr>
      <w:tr>
        <w:tc>
          <w:tcPr>
            <w:tcW w:type="dxa" w:w="1500"/>
            <w:vAlign w:val="center"/>
          </w:tcPr>
          <w:p>
            <w:pPr>
              <w:spacing w:after="0"/>
            </w:pPr>
            <w:r>
              <w:rPr>
                <w:rFonts w:ascii="Calibri" w:hAnsi="Calibri"/>
                <w:b w:val="0"/>
                <w:i w:val="0"/>
                <w:sz w:val="19"/>
              </w:rPr>
              <w:t>Validate</w:t>
            </w:r>
          </w:p>
        </w:tc>
        <w:tc>
          <w:tcPr>
            <w:tcW w:type="dxa" w:w="7860"/>
            <w:vAlign w:val="center"/>
          </w:tcPr>
          <w:p>
            <w:pPr>
              <w:spacing w:after="0"/>
            </w:pPr>
            <w:r>
              <w:rPr>
                <w:rFonts w:ascii="Calibri" w:hAnsi="Calibri"/>
                <w:b w:val="0"/>
                <w:i w:val="0"/>
                <w:sz w:val="19"/>
              </w:rPr>
              <w:t>Re-scan, verify hashes/signatures, test service/API/database/video functions, review logs, and confirm firewall and account controls.</w:t>
            </w:r>
          </w:p>
        </w:tc>
      </w:tr>
      <w:tr>
        <w:tc>
          <w:tcPr>
            <w:tcW w:type="dxa" w:w="1500"/>
            <w:vAlign w:val="center"/>
          </w:tcPr>
          <w:p>
            <w:pPr>
              <w:spacing w:after="0"/>
            </w:pPr>
            <w:r>
              <w:rPr>
                <w:rFonts w:ascii="Calibri" w:hAnsi="Calibri"/>
                <w:b w:val="0"/>
                <w:i w:val="0"/>
                <w:sz w:val="19"/>
              </w:rPr>
              <w:t>Communicate</w:t>
            </w:r>
          </w:p>
        </w:tc>
        <w:tc>
          <w:tcPr>
            <w:tcW w:type="dxa" w:w="7860"/>
            <w:vAlign w:val="center"/>
          </w:tcPr>
          <w:p>
            <w:pPr>
              <w:spacing w:after="0"/>
            </w:pPr>
            <w:r>
              <w:rPr>
                <w:rFonts w:ascii="Calibri" w:hAnsi="Calibri"/>
                <w:b w:val="0"/>
                <w:i w:val="0"/>
                <w:sz w:val="19"/>
              </w:rPr>
              <w:t>Notify affected customers through the approved security channel with impact, affected versions, mitigations, fixed version, and required actions. Avoid publishing exploit-enabling detail before containment.</w:t>
            </w:r>
          </w:p>
        </w:tc>
      </w:tr>
    </w:tbl>
    <w:p>
      <w:pPr>
        <w:pStyle w:val="Heading1"/>
      </w:pPr>
      <w:r>
        <w:t>8. Administrator Verification Commands</w:t>
      </w:r>
    </w:p>
    <w:tbl>
      <w:tblPr>
        <w:tblW w:type="dxa" w:w="9360"/>
        <w:jc w:val="center"/>
        <w:tblLayout w:type="fixed"/>
        <w:tblLook w:firstColumn="1" w:firstRow="1" w:lastColumn="0" w:lastRow="0" w:noHBand="0" w:noVBand="1" w:val="04A0"/>
        <w:tblInd w:w="120" w:type="dxa"/>
      </w:tblPr>
      <w:tblGrid>
        <w:gridCol w:w="2100"/>
        <w:gridCol w:w="7260"/>
      </w:tblGrid>
      <w:tr>
        <w:tc>
          <w:tcPr>
            <w:tcW w:type="dxa" w:w="2100"/>
            <w:vAlign w:val="center"/>
            <w:shd w:fill="E8EEF5"/>
          </w:tcPr>
          <w:p>
            <w:pPr>
              <w:spacing w:after="0"/>
            </w:pPr>
            <w:r>
              <w:rPr>
                <w:rFonts w:ascii="Calibri" w:hAnsi="Calibri"/>
                <w:b/>
                <w:i w:val="0"/>
                <w:color w:val="1F4D78"/>
                <w:sz w:val="19"/>
              </w:rPr>
              <w:t>Purpose</w:t>
            </w:r>
          </w:p>
        </w:tc>
        <w:tc>
          <w:tcPr>
            <w:tcW w:type="dxa" w:w="7260"/>
            <w:vAlign w:val="center"/>
            <w:shd w:fill="E8EEF5"/>
          </w:tcPr>
          <w:p>
            <w:pPr>
              <w:spacing w:after="0"/>
            </w:pPr>
            <w:r>
              <w:rPr>
                <w:rFonts w:ascii="Calibri" w:hAnsi="Calibri"/>
                <w:b/>
                <w:i w:val="0"/>
                <w:color w:val="1F4D78"/>
                <w:sz w:val="19"/>
              </w:rPr>
              <w:t>PowerShell command</w:t>
            </w:r>
          </w:p>
        </w:tc>
      </w:tr>
      <w:tr>
        <w:tc>
          <w:tcPr>
            <w:tcW w:type="dxa" w:w="2100"/>
            <w:vAlign w:val="center"/>
          </w:tcPr>
          <w:p>
            <w:pPr>
              <w:spacing w:after="0"/>
            </w:pPr>
            <w:r>
              <w:rPr>
                <w:rFonts w:ascii="Calibri" w:hAnsi="Calibri"/>
                <w:b w:val="0"/>
                <w:i w:val="0"/>
                <w:sz w:val="19"/>
              </w:rPr>
              <w:t>Service status</w:t>
            </w:r>
          </w:p>
        </w:tc>
        <w:tc>
          <w:tcPr>
            <w:tcW w:type="dxa" w:w="7260"/>
            <w:vAlign w:val="center"/>
          </w:tcPr>
          <w:p>
            <w:pPr>
              <w:spacing w:after="0"/>
            </w:pPr>
            <w:r>
              <w:rPr>
                <w:rFonts w:ascii="Calibri" w:hAnsi="Calibri"/>
                <w:b w:val="0"/>
                <w:i w:val="0"/>
                <w:sz w:val="19"/>
              </w:rPr>
              <w:t>Get-Service VITECScoreboard</w:t>
            </w:r>
          </w:p>
        </w:tc>
      </w:tr>
      <w:tr>
        <w:tc>
          <w:tcPr>
            <w:tcW w:type="dxa" w:w="2100"/>
            <w:vAlign w:val="center"/>
          </w:tcPr>
          <w:p>
            <w:pPr>
              <w:spacing w:after="0"/>
            </w:pPr>
            <w:r>
              <w:rPr>
                <w:rFonts w:ascii="Calibri" w:hAnsi="Calibri"/>
                <w:b w:val="0"/>
                <w:i w:val="0"/>
                <w:sz w:val="19"/>
              </w:rPr>
              <w:t>Service identity</w:t>
            </w:r>
          </w:p>
        </w:tc>
        <w:tc>
          <w:tcPr>
            <w:tcW w:type="dxa" w:w="7260"/>
            <w:vAlign w:val="center"/>
          </w:tcPr>
          <w:p>
            <w:pPr>
              <w:spacing w:after="0"/>
            </w:pPr>
            <w:r>
              <w:rPr>
                <w:rFonts w:ascii="Calibri" w:hAnsi="Calibri"/>
                <w:b w:val="0"/>
                <w:i w:val="0"/>
                <w:sz w:val="19"/>
              </w:rPr>
              <w:t>Get-CimInstance Win32_Service -Filter \"Name='VITECScoreboard'\" | Select Name,StartName,State,PathName</w:t>
            </w:r>
          </w:p>
        </w:tc>
      </w:tr>
      <w:tr>
        <w:tc>
          <w:tcPr>
            <w:tcW w:type="dxa" w:w="2100"/>
            <w:vAlign w:val="center"/>
          </w:tcPr>
          <w:p>
            <w:pPr>
              <w:spacing w:after="0"/>
            </w:pPr>
            <w:r>
              <w:rPr>
                <w:rFonts w:ascii="Calibri" w:hAnsi="Calibri"/>
                <w:b w:val="0"/>
                <w:i w:val="0"/>
                <w:sz w:val="19"/>
              </w:rPr>
              <w:t>Listening port</w:t>
            </w:r>
          </w:p>
        </w:tc>
        <w:tc>
          <w:tcPr>
            <w:tcW w:type="dxa" w:w="7260"/>
            <w:vAlign w:val="center"/>
          </w:tcPr>
          <w:p>
            <w:pPr>
              <w:spacing w:after="0"/>
            </w:pPr>
            <w:r>
              <w:rPr>
                <w:rFonts w:ascii="Calibri" w:hAnsi="Calibri"/>
                <w:b w:val="0"/>
                <w:i w:val="0"/>
                <w:sz w:val="19"/>
              </w:rPr>
              <w:t>Get-NetTCPConnection -State Listen | Where-Object LocalPort -eq 5000</w:t>
            </w:r>
          </w:p>
        </w:tc>
      </w:tr>
      <w:tr>
        <w:tc>
          <w:tcPr>
            <w:tcW w:type="dxa" w:w="2100"/>
            <w:vAlign w:val="center"/>
          </w:tcPr>
          <w:p>
            <w:pPr>
              <w:spacing w:after="0"/>
            </w:pPr>
            <w:r>
              <w:rPr>
                <w:rFonts w:ascii="Calibri" w:hAnsi="Calibri"/>
                <w:b w:val="0"/>
                <w:i w:val="0"/>
                <w:sz w:val="19"/>
              </w:rPr>
              <w:t>Firewall rules</w:t>
            </w:r>
          </w:p>
        </w:tc>
        <w:tc>
          <w:tcPr>
            <w:tcW w:type="dxa" w:w="7260"/>
            <w:vAlign w:val="center"/>
          </w:tcPr>
          <w:p>
            <w:pPr>
              <w:spacing w:after="0"/>
            </w:pPr>
            <w:r>
              <w:rPr>
                <w:rFonts w:ascii="Calibri" w:hAnsi="Calibri"/>
                <w:b w:val="0"/>
                <w:i w:val="0"/>
                <w:sz w:val="19"/>
              </w:rPr>
              <w:t>Get-NetFirewallRule -DisplayName 'VITEC Scoreboard*' | Get-NetFirewallPortFilter</w:t>
            </w:r>
          </w:p>
        </w:tc>
      </w:tr>
      <w:tr>
        <w:tc>
          <w:tcPr>
            <w:tcW w:type="dxa" w:w="2100"/>
            <w:vAlign w:val="center"/>
          </w:tcPr>
          <w:p>
            <w:pPr>
              <w:spacing w:after="0"/>
            </w:pPr>
            <w:r>
              <w:rPr>
                <w:rFonts w:ascii="Calibri" w:hAnsi="Calibri"/>
                <w:b w:val="0"/>
                <w:i w:val="0"/>
                <w:sz w:val="19"/>
              </w:rPr>
              <w:t>Application processes</w:t>
            </w:r>
          </w:p>
        </w:tc>
        <w:tc>
          <w:tcPr>
            <w:tcW w:type="dxa" w:w="7260"/>
            <w:vAlign w:val="center"/>
          </w:tcPr>
          <w:p>
            <w:pPr>
              <w:spacing w:after="0"/>
            </w:pPr>
            <w:r>
              <w:rPr>
                <w:rFonts w:ascii="Calibri" w:hAnsi="Calibri"/>
                <w:b w:val="0"/>
                <w:i w:val="0"/>
                <w:sz w:val="19"/>
              </w:rPr>
              <w:t>Get-Process VITEC.Scoreboard,VITEC.VideoOutput,ffmpeg -ErrorAction SilentlyContinue</w:t>
            </w:r>
          </w:p>
        </w:tc>
      </w:tr>
      <w:tr>
        <w:tc>
          <w:tcPr>
            <w:tcW w:type="dxa" w:w="2100"/>
            <w:vAlign w:val="center"/>
          </w:tcPr>
          <w:p>
            <w:pPr>
              <w:spacing w:after="0"/>
            </w:pPr>
            <w:r>
              <w:rPr>
                <w:rFonts w:ascii="Calibri" w:hAnsi="Calibri"/>
                <w:b w:val="0"/>
                <w:i w:val="0"/>
                <w:sz w:val="19"/>
              </w:rPr>
              <w:t>Application log</w:t>
            </w:r>
          </w:p>
        </w:tc>
        <w:tc>
          <w:tcPr>
            <w:tcW w:type="dxa" w:w="7260"/>
            <w:vAlign w:val="center"/>
          </w:tcPr>
          <w:p>
            <w:pPr>
              <w:spacing w:after="0"/>
            </w:pPr>
            <w:r>
              <w:rPr>
                <w:rFonts w:ascii="Calibri" w:hAnsi="Calibri"/>
                <w:b w:val="0"/>
                <w:i w:val="0"/>
                <w:sz w:val="19"/>
              </w:rPr>
              <w:t>Get-Content 'C:\ProgramData\VITEC Scoreboard\Logs\VITEC-Scoreboard.log' -Tail 100</w:t>
            </w:r>
          </w:p>
        </w:tc>
      </w:tr>
      <w:tr>
        <w:tc>
          <w:tcPr>
            <w:tcW w:type="dxa" w:w="2100"/>
            <w:vAlign w:val="center"/>
          </w:tcPr>
          <w:p>
            <w:pPr>
              <w:spacing w:after="0"/>
            </w:pPr>
            <w:r>
              <w:rPr>
                <w:rFonts w:ascii="Calibri" w:hAnsi="Calibri"/>
                <w:b w:val="0"/>
                <w:i w:val="0"/>
                <w:sz w:val="19"/>
              </w:rPr>
              <w:t>Installer hash</w:t>
            </w:r>
          </w:p>
        </w:tc>
        <w:tc>
          <w:tcPr>
            <w:tcW w:type="dxa" w:w="7260"/>
            <w:vAlign w:val="center"/>
          </w:tcPr>
          <w:p>
            <w:pPr>
              <w:spacing w:after="0"/>
            </w:pPr>
            <w:r>
              <w:rPr>
                <w:rFonts w:ascii="Calibri" w:hAnsi="Calibri"/>
                <w:b w:val="0"/>
                <w:i w:val="0"/>
                <w:sz w:val="19"/>
              </w:rPr>
              <w:t>Get-FileHash .\VITEC-Scoreboard-Setup-vX.Y.Z.msi -Algorithm SHA256</w:t>
            </w:r>
          </w:p>
        </w:tc>
      </w:tr>
    </w:tbl>
    <w:p>
      <w:pPr>
        <w:pStyle w:val="Heading1"/>
      </w:pPr>
      <w:r>
        <w:t>9. Authoritative Security References</w:t>
      </w:r>
    </w:p>
    <w:p>
      <w:pPr>
        <w:pStyle w:val="ListBullet"/>
        <w:spacing w:after="80" w:line="300" w:lineRule="auto"/>
        <w:ind w:left="540" w:hanging="271"/>
      </w:pPr>
      <w:r>
        <w:rPr>
          <w:rFonts w:ascii="Calibri" w:hAnsi="Calibri"/>
          <w:b w:val="0"/>
          <w:i w:val="0"/>
          <w:sz w:val="22"/>
        </w:rPr>
        <w:t>Microsoft LocalSystem account: https://learn.microsoft.com/windows/win32/services/localsystem-account</w:t>
      </w:r>
    </w:p>
    <w:p>
      <w:pPr>
        <w:pStyle w:val="ListBullet"/>
        <w:spacing w:after="80" w:line="300" w:lineRule="auto"/>
        <w:ind w:left="540" w:hanging="271"/>
      </w:pPr>
      <w:r>
        <w:rPr>
          <w:rFonts w:ascii="Calibri" w:hAnsi="Calibri"/>
          <w:b w:val="0"/>
          <w:i w:val="0"/>
          <w:sz w:val="22"/>
        </w:rPr>
        <w:t>Microsoft Windows Firewall rule recommendations: https://learn.microsoft.com/windows/security/operating-system-security/network-security/windows-firewall/rules</w:t>
      </w:r>
    </w:p>
    <w:p>
      <w:pPr>
        <w:pStyle w:val="ListBullet"/>
        <w:spacing w:after="80" w:line="300" w:lineRule="auto"/>
        <w:ind w:left="540" w:hanging="271"/>
      </w:pPr>
      <w:r>
        <w:rPr>
          <w:rFonts w:ascii="Calibri" w:hAnsi="Calibri"/>
          <w:b w:val="0"/>
          <w:i w:val="0"/>
          <w:sz w:val="22"/>
        </w:rPr>
        <w:t>Microsoft .NET security advisories: https://github.com/dotnet/announcements/labels/Security</w:t>
      </w:r>
    </w:p>
    <w:p>
      <w:pPr>
        <w:pStyle w:val="ListBullet"/>
        <w:spacing w:after="80" w:line="300" w:lineRule="auto"/>
        <w:ind w:left="540" w:hanging="271"/>
      </w:pPr>
      <w:r>
        <w:rPr>
          <w:rFonts w:ascii="Calibri" w:hAnsi="Calibri"/>
          <w:b w:val="0"/>
          <w:i w:val="0"/>
          <w:sz w:val="22"/>
        </w:rPr>
        <w:t>PostgreSQL security information: https://www.postgresql.org/support/security/</w:t>
      </w:r>
    </w:p>
    <w:p>
      <w:pPr>
        <w:pStyle w:val="ListBullet"/>
        <w:spacing w:after="80" w:line="300" w:lineRule="auto"/>
        <w:ind w:left="540" w:hanging="271"/>
      </w:pPr>
      <w:r>
        <w:rPr>
          <w:rFonts w:ascii="Calibri" w:hAnsi="Calibri"/>
          <w:b w:val="0"/>
          <w:i w:val="0"/>
          <w:sz w:val="22"/>
        </w:rPr>
        <w:t>FFmpeg security information: https://ffmpeg.org/security.html</w:t>
      </w:r>
    </w:p>
    <w:p>
      <w:pPr>
        <w:spacing w:after="120" w:line="300" w:lineRule="auto"/>
      </w:pPr>
      <w:r>
        <w:rPr>
          <w:rFonts w:ascii="Calibri" w:hAnsi="Calibri"/>
          <w:b w:val="0"/>
          <w:i w:val="0"/>
          <w:sz w:val="22"/>
        </w:rPr>
        <w:t>This document describes version 0.8.63-era behavior and is an operational security reference, not a substitute for the customer’s security architecture, risk assessment, or incident-response policy.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978"/>
        <w:sz w:val="17"/>
      </w:rPr>
      <w:t>Customer and administrator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6978"/>
        <w:sz w:val="18"/>
      </w:rPr>
      <w:t>VITEC Scoreboard | Deployment and Security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