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C84" w:rsidRPr="007134C2" w:rsidRDefault="00425BE8" w:rsidP="00320C84">
      <w:pPr>
        <w:pStyle w:val="Title1"/>
        <w:tabs>
          <w:tab w:val="clear" w:pos="284"/>
        </w:tabs>
        <w:rPr>
          <w:szCs w:val="28"/>
        </w:rPr>
      </w:pPr>
      <w:r w:rsidRPr="007134C2">
        <w:rPr>
          <w:szCs w:val="28"/>
        </w:rPr>
        <w:t xml:space="preserve">Predicting </w:t>
      </w:r>
      <w:r w:rsidR="00C56A12" w:rsidRPr="007134C2">
        <w:rPr>
          <w:szCs w:val="28"/>
        </w:rPr>
        <w:t xml:space="preserve">the </w:t>
      </w:r>
      <w:r w:rsidR="00A212C2">
        <w:rPr>
          <w:szCs w:val="28"/>
        </w:rPr>
        <w:t>short</w:t>
      </w:r>
      <w:r w:rsidR="00D9384C">
        <w:rPr>
          <w:szCs w:val="28"/>
        </w:rPr>
        <w:t>-</w:t>
      </w:r>
      <w:r w:rsidR="00A212C2">
        <w:rPr>
          <w:szCs w:val="28"/>
        </w:rPr>
        <w:t xml:space="preserve">term </w:t>
      </w:r>
      <w:r w:rsidRPr="007134C2">
        <w:rPr>
          <w:szCs w:val="28"/>
        </w:rPr>
        <w:t xml:space="preserve">direction of the DAX using </w:t>
      </w:r>
      <w:r w:rsidR="00D9384C">
        <w:rPr>
          <w:szCs w:val="28"/>
        </w:rPr>
        <w:t>the AdaBoos</w:t>
      </w:r>
      <w:r w:rsidR="00EF64DC">
        <w:rPr>
          <w:szCs w:val="28"/>
        </w:rPr>
        <w:t>t a</w:t>
      </w:r>
      <w:r w:rsidR="00D9384C">
        <w:rPr>
          <w:szCs w:val="28"/>
        </w:rPr>
        <w:t>lgorithm</w:t>
      </w:r>
    </w:p>
    <w:p w:rsidR="00D9384C" w:rsidRPr="00D9384C" w:rsidRDefault="00E92617" w:rsidP="00131A09">
      <w:pPr>
        <w:pStyle w:val="author"/>
      </w:pPr>
      <w:r w:rsidRPr="007134C2">
        <w:t>Kevin O’Mahony</w:t>
      </w:r>
      <w:r w:rsidR="00D9384C">
        <w:t xml:space="preserve"> (ID: R00105946)</w:t>
      </w:r>
    </w:p>
    <w:p w:rsidR="00320C84" w:rsidRPr="007134C2" w:rsidRDefault="00D9484B" w:rsidP="00D9484B">
      <w:pPr>
        <w:pStyle w:val="abstract"/>
      </w:pPr>
      <w:r w:rsidRPr="007134C2">
        <w:rPr>
          <w:b/>
        </w:rPr>
        <w:t>Abstract</w:t>
      </w:r>
      <w:r w:rsidR="00B95482">
        <w:rPr>
          <w:b/>
        </w:rPr>
        <w:t>:</w:t>
      </w:r>
      <w:r w:rsidRPr="007134C2">
        <w:rPr>
          <w:b/>
        </w:rPr>
        <w:t> </w:t>
      </w:r>
      <w:r w:rsidR="00131A09">
        <w:t xml:space="preserve">Prediction of </w:t>
      </w:r>
      <w:r w:rsidR="00623869">
        <w:t xml:space="preserve">tomorrow </w:t>
      </w:r>
      <w:r w:rsidR="00131A09">
        <w:t xml:space="preserve">daily close of DAX index relative to </w:t>
      </w:r>
      <w:r w:rsidR="00623869">
        <w:t>todays</w:t>
      </w:r>
      <w:r w:rsidR="009467C9">
        <w:t xml:space="preserve"> close</w:t>
      </w:r>
      <w:r w:rsidR="00AA079C">
        <w:t xml:space="preserve"> using </w:t>
      </w:r>
      <w:proofErr w:type="spellStart"/>
      <w:r w:rsidR="00AA079C">
        <w:t>AdaBoost</w:t>
      </w:r>
      <w:proofErr w:type="spellEnd"/>
      <w:r w:rsidR="009467C9">
        <w:t xml:space="preserve">. </w:t>
      </w:r>
      <w:r w:rsidR="00131A09">
        <w:t xml:space="preserve">Comparison of </w:t>
      </w:r>
      <w:proofErr w:type="spellStart"/>
      <w:r w:rsidR="00704037">
        <w:t>AdaBoost</w:t>
      </w:r>
      <w:proofErr w:type="spellEnd"/>
      <w:r w:rsidR="00704037">
        <w:t xml:space="preserve"> to </w:t>
      </w:r>
      <w:r w:rsidR="00131A09">
        <w:t xml:space="preserve">SVM, Random Forest, and Gradient Boost Trees shows </w:t>
      </w:r>
      <w:r w:rsidR="00623869">
        <w:t>AdaBoost</w:t>
      </w:r>
      <w:r w:rsidR="00131A09">
        <w:t xml:space="preserve"> to be </w:t>
      </w:r>
      <w:r w:rsidR="00623869">
        <w:t xml:space="preserve">the </w:t>
      </w:r>
      <w:r w:rsidR="00131A09">
        <w:t xml:space="preserve">top performer with </w:t>
      </w:r>
      <w:r w:rsidR="00623869">
        <w:t>80</w:t>
      </w:r>
      <w:r w:rsidR="00131A09">
        <w:t xml:space="preserve">% accuracy for day ahead prediction. Short term forecast </w:t>
      </w:r>
      <w:r w:rsidR="00E83DE4">
        <w:t xml:space="preserve">of DAX close </w:t>
      </w:r>
      <w:r w:rsidR="00131A09">
        <w:t xml:space="preserve">out to </w:t>
      </w:r>
      <w:r w:rsidR="00E83DE4">
        <w:t>10</w:t>
      </w:r>
      <w:r w:rsidR="00131A09">
        <w:t xml:space="preserve"> days possible at </w:t>
      </w:r>
      <w:r w:rsidR="00623869">
        <w:t>greater than 70</w:t>
      </w:r>
      <w:r w:rsidR="00131A09">
        <w:t>% accuracy</w:t>
      </w:r>
      <w:r w:rsidR="00623869">
        <w:t xml:space="preserve"> level</w:t>
      </w:r>
      <w:r w:rsidR="00131A09">
        <w:t xml:space="preserve">. Models tested on alternative instruments: Precious Metals and Forex, show similar </w:t>
      </w:r>
      <w:r w:rsidR="00E83DE4">
        <w:t xml:space="preserve">one day ahead prediction </w:t>
      </w:r>
      <w:r w:rsidR="00131A09">
        <w:t>results.</w:t>
      </w:r>
    </w:p>
    <w:p w:rsidR="00320C84" w:rsidRDefault="00320C84" w:rsidP="00320C84">
      <w:pPr>
        <w:pStyle w:val="heading10"/>
        <w:rPr>
          <w:szCs w:val="24"/>
        </w:rPr>
      </w:pPr>
      <w:r w:rsidRPr="007134C2">
        <w:rPr>
          <w:szCs w:val="24"/>
        </w:rPr>
        <w:t>1</w:t>
      </w:r>
      <w:r w:rsidR="00375E67" w:rsidRPr="007134C2">
        <w:rPr>
          <w:szCs w:val="24"/>
        </w:rPr>
        <w:t>.</w:t>
      </w:r>
      <w:r w:rsidRPr="007134C2">
        <w:rPr>
          <w:szCs w:val="24"/>
        </w:rPr>
        <w:t xml:space="preserve"> </w:t>
      </w:r>
      <w:r w:rsidR="00E92617" w:rsidRPr="007134C2">
        <w:rPr>
          <w:szCs w:val="24"/>
        </w:rPr>
        <w:t>Introduction</w:t>
      </w:r>
      <w:r w:rsidRPr="007134C2">
        <w:rPr>
          <w:szCs w:val="24"/>
        </w:rPr>
        <w:t xml:space="preserve"> </w:t>
      </w:r>
    </w:p>
    <w:p w:rsidR="007C3D3F" w:rsidRDefault="008362C3" w:rsidP="009450EC">
      <w:r>
        <w:t xml:space="preserve">Stock market prediction has long been a focus of </w:t>
      </w:r>
      <w:r w:rsidR="000966CC">
        <w:t>research effort</w:t>
      </w:r>
      <w:r>
        <w:t>. Forecasting future prices is important to many market participants from retail traders, market makers, institutional trader</w:t>
      </w:r>
      <w:r w:rsidR="00AB3560">
        <w:t>s, banks</w:t>
      </w:r>
      <w:r w:rsidR="002433BC">
        <w:t xml:space="preserve">, </w:t>
      </w:r>
      <w:r w:rsidR="000966CC">
        <w:t>hedge funds</w:t>
      </w:r>
      <w:r w:rsidR="00AB3560">
        <w:t xml:space="preserve"> and other investment </w:t>
      </w:r>
      <w:r w:rsidR="00BC3843">
        <w:t>entities</w:t>
      </w:r>
      <w:r w:rsidR="002433BC">
        <w:t xml:space="preserve">. The global financial system has become ever more interconnected to the degree that local market movements can have immediate impact on markets on the </w:t>
      </w:r>
      <w:r w:rsidR="00D71F8F">
        <w:t>other side</w:t>
      </w:r>
      <w:r w:rsidR="002433BC">
        <w:t xml:space="preserve"> of the world as witnessed in the global financial crisis of 2008.  Hence it has never been more relevant to have reliable forecasting models. </w:t>
      </w:r>
      <w:r w:rsidR="000966CC">
        <w:t xml:space="preserve">Creating </w:t>
      </w:r>
      <w:r w:rsidR="002433BC">
        <w:t>accurate</w:t>
      </w:r>
      <w:r w:rsidR="000966CC">
        <w:t xml:space="preserve"> prediction models is difficult due to the complex nature of typical financial time series.</w:t>
      </w:r>
      <w:r w:rsidR="002433BC">
        <w:t xml:space="preserve"> They are normally non-stationary </w:t>
      </w:r>
      <w:r w:rsidR="007C3D3F">
        <w:t>and display</w:t>
      </w:r>
      <w:r w:rsidR="002433BC">
        <w:t xml:space="preserve"> </w:t>
      </w:r>
      <w:r w:rsidR="007C3D3F">
        <w:t xml:space="preserve">different </w:t>
      </w:r>
      <w:r w:rsidR="002433BC">
        <w:t>seasonal</w:t>
      </w:r>
      <w:r w:rsidR="007C3D3F">
        <w:t xml:space="preserve"> and </w:t>
      </w:r>
      <w:r w:rsidR="002433BC">
        <w:t xml:space="preserve">trend </w:t>
      </w:r>
      <w:r w:rsidR="007C3D3F">
        <w:t xml:space="preserve">components. Traditional </w:t>
      </w:r>
      <w:r w:rsidR="009279CD">
        <w:t xml:space="preserve">financial </w:t>
      </w:r>
      <w:r w:rsidR="007C3D3F">
        <w:t xml:space="preserve">time series analysis has </w:t>
      </w:r>
      <w:r w:rsidR="009279CD">
        <w:t>typically used</w:t>
      </w:r>
      <w:r w:rsidR="007C3D3F">
        <w:t xml:space="preserve"> combinations of signal decomposition, smoothing, moving average</w:t>
      </w:r>
      <w:r w:rsidR="009279CD">
        <w:t xml:space="preserve">, spectral analysis, </w:t>
      </w:r>
      <w:r w:rsidR="007C3D3F">
        <w:t xml:space="preserve">auto-regression </w:t>
      </w:r>
      <w:r w:rsidR="009279CD">
        <w:t xml:space="preserve">(ARIMA) and generalized auto-regression conditional heteroskedasticity (GARCH) </w:t>
      </w:r>
      <w:r w:rsidR="007C3D3F">
        <w:t xml:space="preserve">models with </w:t>
      </w:r>
      <w:r w:rsidR="009279CD">
        <w:t>mixed</w:t>
      </w:r>
      <w:r w:rsidR="007C3D3F">
        <w:t xml:space="preserve"> success.</w:t>
      </w:r>
    </w:p>
    <w:p w:rsidR="006475F9" w:rsidRDefault="006475F9" w:rsidP="009450EC">
      <w:r>
        <w:t xml:space="preserve">There are generally two approaches taken to financial forecasting: either predict a future actual price or predict </w:t>
      </w:r>
      <w:r w:rsidR="00EE3674">
        <w:t xml:space="preserve">a </w:t>
      </w:r>
      <w:r>
        <w:t>future dire</w:t>
      </w:r>
      <w:r w:rsidR="00A64C5A">
        <w:t xml:space="preserve">ction, e.g. closing price today </w:t>
      </w:r>
      <w:r w:rsidR="00B21214">
        <w:t>greater than or less than</w:t>
      </w:r>
      <w:r w:rsidR="00A64C5A">
        <w:t xml:space="preserve"> closing price yesterday.</w:t>
      </w:r>
      <w:r w:rsidR="00B21214">
        <w:t xml:space="preserve"> These correspond to the two main categories of machine learning: regression, the prediction of a continuous variable versus classification, predicting which class a variable belongs to. Here we will focus on predicting the short-term direction of the closing price of a stock market index relative to today’s closing price.</w:t>
      </w:r>
      <w:r w:rsidR="00EE3674">
        <w:t xml:space="preserve"> This is in the form of a classification problem i.e. assign a class ‘1’ for today’s close price greater than yesterday’s close price and assign a class ‘0’ for today’s close price less than yesterdays.</w:t>
      </w:r>
      <w:r w:rsidR="000078BE">
        <w:t xml:space="preserve"> </w:t>
      </w:r>
    </w:p>
    <w:p w:rsidR="00EE3674" w:rsidRDefault="00EE3674" w:rsidP="00EE3674">
      <w:r>
        <w:lastRenderedPageBreak/>
        <w:t xml:space="preserve">Over the last decade machine learning techniques have increasingly been investigated as a means of producing more efficient prediction models. This study will focus on some of the more </w:t>
      </w:r>
      <w:r w:rsidR="00303FC5">
        <w:t>popular</w:t>
      </w:r>
      <w:r>
        <w:t xml:space="preserve"> models developed, in particular a form of enhanced decision tree known as AdaBoost </w:t>
      </w:r>
      <w:r>
        <w:fldChar w:fldCharType="begin" w:fldLock="1"/>
      </w:r>
      <w:r w:rsidR="0045087C">
        <w:instrText>ADDIN CSL_CITATION { "citationItems" : [ { "id" : "ITEM-1", "itemData" : { "DOI" : "10.1006/jcss.1997.1504", "ISBN" : "3540591192", "ISSN" : "00220000", "PMID" : "10394", "abstract" : "In the first part of the paper we consider the problem of dynamically\\n\\napportioning resources among a set of options in a worst-case on-line\\n\\nframework. The model we study can be interpreted as a broad, abstract\\n\\nextension of the well-studied on-line prediction model to a general\\n\\ndecision-theoretic setting. We show that the multiplicative weight-\\n\\nupdate LittlestoneWarmuth rule can be adapted to this model, yielding\\n\\nbounds that are slightly weaker in some cases, but applicable to a\\ncon-\\n\\nsiderably more general class of learning problems. We show how the\\n\\nresulting learning algorithm can be applied to a variety of problems,\\n\\nincluding gambling, multiple-outcome prediction, repeated games, and\\n\\nprediction of points in R^{n}. In the second part of the paper we\\napply the\\n\\nmultiplicative weight-update technique to derive a new boosting algo-\\n\\nrithm. This boosting algorithm does not require any prior knowledge\\n\\nabout the performance of the weak learning algorithm. We also study\\n\\ngeneralizations of the new boosting algorithm to the problem of\\n\\nlearning functions whose range, rather than being binary, is an arbitrary\\n\\nfinite set or a bounded segment of the real line.", "author" : [ { "dropping-particle" : "", "family" : "Freund", "given" : "Y", "non-dropping-particle" : "", "parse-names" : false, "suffix" : "" }, { "dropping-particle" : "", "family" : "Schapire", "given" : "Re", "non-dropping-particle" : "", "parse-names" : false, "suffix" : "" } ], "container-title" : "Computational learning theory", "id" : "ITEM-1", "issued" : { "date-parts" : [ [ "1995" ] ] }, "page" : "119-139", "title" : "A desicion-theoretic generalization of on-line learning and an application to boosting", "type" : "article-journal", "volume" : "55" }, "uris" : [ "http://www.mendeley.com/documents/?uuid=91071316-4b34-42c6-91bb-5e38960c5932" ] } ], "mendeley" : { "formattedCitation" : "[1]", "plainTextFormattedCitation" : "[1]", "previouslyFormattedCitation" : "[1]" }, "properties" : { "noteIndex" : 0 }, "schema" : "https://github.com/citation-style-language/schema/raw/master/csl-citation.json" }</w:instrText>
      </w:r>
      <w:r>
        <w:fldChar w:fldCharType="separate"/>
      </w:r>
      <w:r w:rsidRPr="00BC3843">
        <w:rPr>
          <w:noProof/>
        </w:rPr>
        <w:t>[1]</w:t>
      </w:r>
      <w:r>
        <w:fldChar w:fldCharType="end"/>
      </w:r>
      <w:r>
        <w:t xml:space="preserve"> and compare its performance to Support Vector Machine (SVM), Random Forest and another </w:t>
      </w:r>
      <w:r w:rsidR="00D3063B">
        <w:t>boosted algorithm</w:t>
      </w:r>
      <w:r>
        <w:t xml:space="preserve">, Gradient Boosting. </w:t>
      </w:r>
    </w:p>
    <w:p w:rsidR="00EE3674" w:rsidRDefault="00D71F8F" w:rsidP="00C1049F">
      <w:r>
        <w:t xml:space="preserve">AdaBoost (short for adaptive boosting) is </w:t>
      </w:r>
      <w:r w:rsidR="00DB5992">
        <w:t xml:space="preserve">from a family of classifiers known as ensemble methods. They work on the principle of increasing classification accuracy by creating multiple classifiers and combining their outputs into a single decision. AdaBoost is a </w:t>
      </w:r>
      <w:r>
        <w:t xml:space="preserve">general method for generating a strong classifier out of a set of weak classifiers. </w:t>
      </w:r>
      <w:r w:rsidR="00C1049F">
        <w:t>It’s first classification attempt runs</w:t>
      </w:r>
      <w:r w:rsidR="00DB5992">
        <w:t xml:space="preserve"> </w:t>
      </w:r>
      <w:r w:rsidR="00C1049F">
        <w:t>on</w:t>
      </w:r>
      <w:r w:rsidR="00DB5992">
        <w:t xml:space="preserve"> an unweighted </w:t>
      </w:r>
      <w:r w:rsidR="00C1049F">
        <w:t xml:space="preserve">or equally weighted training </w:t>
      </w:r>
      <w:r w:rsidR="00DB5992">
        <w:t>data set</w:t>
      </w:r>
      <w:r w:rsidR="00C1049F">
        <w:t xml:space="preserve">. The incorrectly classified data is then weighted so that it is more likely to appear as input to subsequent classifiers. As each new weak learner is added it will process increasingly more difficult to classify data. More classifies are generated until a predefined error rate is achieved and the process stops. </w:t>
      </w:r>
      <w:r w:rsidR="00D3063B">
        <w:t>Classifier’s result</w:t>
      </w:r>
      <w:r w:rsidR="00DE4945">
        <w:t>s</w:t>
      </w:r>
      <w:r w:rsidR="00D3063B">
        <w:t xml:space="preserve"> are then combined based on an accuracy weighting to produce the final outcome. </w:t>
      </w:r>
      <w:r w:rsidR="00C1049F">
        <w:t xml:space="preserve">AdaBoost has been applied to many different classifiers but is </w:t>
      </w:r>
      <w:r w:rsidR="00BB7B6A">
        <w:t>most</w:t>
      </w:r>
      <w:r w:rsidR="00C1049F">
        <w:t xml:space="preserve"> often used with decision trees.</w:t>
      </w:r>
    </w:p>
    <w:p w:rsidR="00EE3674" w:rsidRDefault="0045087C" w:rsidP="00CB7508">
      <w:r>
        <w:t xml:space="preserve">The other models chosen are: </w:t>
      </w:r>
      <w:r w:rsidR="00EE3674">
        <w:t>SVM</w:t>
      </w:r>
      <w:r>
        <w:t xml:space="preserve">, Random Forest and </w:t>
      </w:r>
      <w:r w:rsidR="00EE3674">
        <w:t>Gradient Boosted Machine</w:t>
      </w:r>
      <w:r>
        <w:t xml:space="preserve">. SVM </w:t>
      </w:r>
      <w:r>
        <w:fldChar w:fldCharType="begin" w:fldLock="1"/>
      </w:r>
      <w:r w:rsidR="00C25D4C">
        <w:instrText>ADDIN CSL_CITATION { "citationItems" : [ { "id" : "ITEM-1", "itemData" : { "DOI" : "10.1.1.21.3818", "ISBN" : "089791497X", "ISSN" : "0-89791-497-X", "PMID" : "25246403", "abstract" : "A training algorithm that maximizes the mar-gin between the training patterns and the de-cision boundary is presented. The technique is applicable to a wide variety of classiiac-tion functions, including Perceptrons, polyno-mials, and Radial Basis Functions. The ef-fective n 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 "author" : [ { "dropping-particle" : "", "family" : "Boser", "given" : "Bernhard E", "non-dropping-particle" : "", "parse-names" : false, "suffix" : "" }, { "dropping-particle" : "", "family" : "Guyon", "given" : "Isabelle M", "non-dropping-particle" : "", "parse-names" : false, "suffix" : "" }, { "dropping-particle" : "", "family" : "Vapnik", "given" : "Vladimir N", "non-dropping-particle" : "", "parse-names" : false, "suffix" : "" } ], "container-title" : "Proceedings of the fifth annual workshop on Computational learning theory", "id" : "ITEM-1", "issued" : { "date-parts" : [ [ "1992" ] ] }, "page" : "144-152", "title" : "A Training Algorithm for Optimal Margin Classiiers", "type" : "article-journal" }, "uris" : [ "http://www.mendeley.com/documents/?uuid=f8aca476-99c6-4d28-901a-56d0a29c6156" ] } ], "mendeley" : { "formattedCitation" : "[2]", "plainTextFormattedCitation" : "[2]", "previouslyFormattedCitation" : "[2]" }, "properties" : { "noteIndex" : 0 }, "schema" : "https://github.com/citation-style-language/schema/raw/master/csl-citation.json" }</w:instrText>
      </w:r>
      <w:r>
        <w:fldChar w:fldCharType="separate"/>
      </w:r>
      <w:r w:rsidRPr="0045087C">
        <w:rPr>
          <w:noProof/>
        </w:rPr>
        <w:t>[2]</w:t>
      </w:r>
      <w:r>
        <w:fldChar w:fldCharType="end"/>
      </w:r>
      <w:r w:rsidR="00BC0319">
        <w:t xml:space="preserve"> performs classification of non-linear problem</w:t>
      </w:r>
      <w:r w:rsidR="00C25D4C">
        <w:t>s</w:t>
      </w:r>
      <w:r w:rsidR="00BC0319">
        <w:t xml:space="preserve"> by mapping the data to a higher dimension space where the classes become linearly separable. The mapping is performed by transforming</w:t>
      </w:r>
      <w:r w:rsidR="00C25D4C">
        <w:t xml:space="preserve"> the data via a kernel function. We will </w:t>
      </w:r>
      <w:r w:rsidR="007D2DCC">
        <w:t>examine</w:t>
      </w:r>
      <w:r w:rsidR="00C25D4C">
        <w:t xml:space="preserve"> three popular non-linear kernel functions: sigmoid, radial basis and polynomial. Random Forest </w:t>
      </w:r>
      <w:r w:rsidR="00C25D4C">
        <w:fldChar w:fldCharType="begin" w:fldLock="1"/>
      </w:r>
      <w:r w:rsidR="007D2260">
        <w:instrText>ADDIN CSL_CITATION { "citationItems" : [ { "id" : "ITEM-1", "itemData" : { "DOI" : "10.1023/A:1010933404324", "ISBN" : "0885-6125", "ISSN" : "08856125", "PMID" : "21816105", "abstract"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 148\u2013156),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"http://www.mendeley.com/documents/?uuid=1275805d-05cb-4200-8c3a-678f58f7bba5" ] } ], "mendeley" : { "formattedCitation" : "[3]", "plainTextFormattedCitation" : "[3]", "previouslyFormattedCitation" : "[3]" }, "properties" : { "noteIndex" : 0 }, "schema" : "https://github.com/citation-style-language/schema/raw/master/csl-citation.json" }</w:instrText>
      </w:r>
      <w:r w:rsidR="00C25D4C">
        <w:fldChar w:fldCharType="separate"/>
      </w:r>
      <w:r w:rsidR="00C25D4C" w:rsidRPr="00C25D4C">
        <w:rPr>
          <w:noProof/>
        </w:rPr>
        <w:t>[3]</w:t>
      </w:r>
      <w:r w:rsidR="00C25D4C">
        <w:fldChar w:fldCharType="end"/>
      </w:r>
      <w:r w:rsidR="00C25D4C">
        <w:t xml:space="preserve"> is </w:t>
      </w:r>
      <w:r w:rsidR="00B96083">
        <w:t>an</w:t>
      </w:r>
      <w:r w:rsidR="00C25D4C">
        <w:t xml:space="preserve"> ensemble method using a collection of decision trees. Each tree is built using a bootstrap sample from the data</w:t>
      </w:r>
      <w:r w:rsidR="00D3063B">
        <w:t xml:space="preserve"> </w:t>
      </w:r>
      <w:r w:rsidR="00C25D4C">
        <w:t>set</w:t>
      </w:r>
      <w:r w:rsidR="00D3063B">
        <w:t>. While a standard decision tree split</w:t>
      </w:r>
      <w:r w:rsidR="007D2260">
        <w:t>’</w:t>
      </w:r>
      <w:r w:rsidR="00D3063B">
        <w:t>s each node using the best split amongst all the features</w:t>
      </w:r>
      <w:r w:rsidR="007D2260">
        <w:t>,</w:t>
      </w:r>
      <w:r w:rsidR="00D3063B">
        <w:t xml:space="preserve"> a Random Forest will split each node based on the best from a random set of features. </w:t>
      </w:r>
      <w:r w:rsidR="007D2260">
        <w:t xml:space="preserve">Gradient Boosted Machines </w:t>
      </w:r>
      <w:r w:rsidR="007D2260">
        <w:fldChar w:fldCharType="begin" w:fldLock="1"/>
      </w:r>
      <w:r w:rsidR="00D127FB">
        <w:instrText>ADDIN CSL_CITATION { "citationItems" : [ { "id" : "ITEM-1", "itemData" : { "DOI" : "doi:10.1214/aos/1013203451", "ISBN" : "0090-5364", "ISSN" : "0090-5364", "PMID" : "21740230",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"author" : [ { "dropping-particle" : "", "family" : "Friedman", "given" : "Jerome H", "non-dropping-particle" : "", "parse-names" : false, "suffix" : "" } ], "container-title" : "Statistics", "id" : "ITEM-1", "issue" : "5", "issued" : { "date-parts" : [ [ "2011" ] ] }, "page" : "1189-1232", "title" : "Greedy function machine: A gr", "type" : "article-journal", "volume" : "29" }, "uris" : [ "http://www.mendeley.com/documents/?uuid=ba4e71cb-15c2-427e-bf83-21dde681704b" ] } ], "mendeley" : { "formattedCitation" : "[4]", "plainTextFormattedCitation" : "[4]", "previouslyFormattedCitation" : "[4]" }, "properties" : { "noteIndex" : 0 }, "schema" : "https://github.com/citation-style-language/schema/raw/master/csl-citation.json" }</w:instrText>
      </w:r>
      <w:r w:rsidR="007D2260">
        <w:fldChar w:fldCharType="separate"/>
      </w:r>
      <w:r w:rsidR="007D2260" w:rsidRPr="007D2260">
        <w:rPr>
          <w:noProof/>
        </w:rPr>
        <w:t>[4]</w:t>
      </w:r>
      <w:r w:rsidR="007D2260">
        <w:fldChar w:fldCharType="end"/>
      </w:r>
      <w:r w:rsidR="007D2260">
        <w:t xml:space="preserve"> </w:t>
      </w:r>
      <w:r w:rsidR="00035DF5">
        <w:t>are another ensemble method where a collection of models are trained in order to minimize the error loss function using gradient descent.</w:t>
      </w:r>
      <w:r w:rsidR="00FD242B">
        <w:t xml:space="preserve"> </w:t>
      </w:r>
    </w:p>
    <w:p w:rsidR="00EE3674" w:rsidRDefault="00EE3674" w:rsidP="009450EC">
      <w:r>
        <w:t xml:space="preserve">The DAX is used in this study as a representative stock index. It has a large daily range and is more volatile than most other European stock indices. It is an index of the 30 largest German companies trading on the Frankfurt Stock Exchange. It was created in 1988 with a base value of 1000. The DAX components represent roughly 75% of the total market capitalisation </w:t>
      </w:r>
      <w:r w:rsidR="00B96083">
        <w:t>of</w:t>
      </w:r>
      <w:r>
        <w:t xml:space="preserve"> the Frankfurt Exchange.</w:t>
      </w:r>
    </w:p>
    <w:p w:rsidR="000966CC" w:rsidRDefault="00EE3674" w:rsidP="00590378">
      <w:r>
        <w:t>The rest of this paper is organised as follows. The next section discusses some recent related research</w:t>
      </w:r>
      <w:r w:rsidR="0033397F">
        <w:t>. S</w:t>
      </w:r>
      <w:r>
        <w:t xml:space="preserve">ection 3 </w:t>
      </w:r>
      <w:r w:rsidR="0033397F">
        <w:t>describes the data set</w:t>
      </w:r>
      <w:r w:rsidR="007D2DCC">
        <w:t xml:space="preserve"> and</w:t>
      </w:r>
      <w:r w:rsidR="0033397F">
        <w:t xml:space="preserve"> Section 4 discu</w:t>
      </w:r>
      <w:r w:rsidR="007D2DCC">
        <w:t xml:space="preserve">sses the experimental setup and </w:t>
      </w:r>
      <w:bookmarkStart w:id="0" w:name="_GoBack"/>
      <w:bookmarkEnd w:id="0"/>
      <w:r w:rsidR="0033397F">
        <w:t xml:space="preserve">results. Finally, Section 5 details the conclusions and </w:t>
      </w:r>
      <w:r w:rsidR="00590378">
        <w:t xml:space="preserve">possible </w:t>
      </w:r>
      <w:r w:rsidR="0033397F">
        <w:t xml:space="preserve">future </w:t>
      </w:r>
      <w:r w:rsidR="00590378">
        <w:t>work</w:t>
      </w:r>
      <w:r w:rsidR="0033397F">
        <w:t>.</w:t>
      </w:r>
    </w:p>
    <w:p w:rsidR="00320C84" w:rsidRPr="007134C2" w:rsidRDefault="00320C84" w:rsidP="00320C84">
      <w:pPr>
        <w:pStyle w:val="heading10"/>
        <w:rPr>
          <w:szCs w:val="24"/>
        </w:rPr>
      </w:pPr>
      <w:r w:rsidRPr="007134C2">
        <w:rPr>
          <w:szCs w:val="24"/>
        </w:rPr>
        <w:lastRenderedPageBreak/>
        <w:t>2</w:t>
      </w:r>
      <w:r w:rsidR="00F03443">
        <w:rPr>
          <w:szCs w:val="24"/>
        </w:rPr>
        <w:t>.</w:t>
      </w:r>
      <w:r w:rsidRPr="007134C2">
        <w:rPr>
          <w:szCs w:val="24"/>
        </w:rPr>
        <w:t xml:space="preserve"> </w:t>
      </w:r>
      <w:r w:rsidR="00E92617" w:rsidRPr="007134C2">
        <w:rPr>
          <w:szCs w:val="24"/>
        </w:rPr>
        <w:t>Related Research</w:t>
      </w:r>
      <w:r w:rsidRPr="007134C2">
        <w:rPr>
          <w:szCs w:val="24"/>
        </w:rPr>
        <w:t xml:space="preserve"> </w:t>
      </w:r>
    </w:p>
    <w:p w:rsidR="00320C84" w:rsidRPr="007134C2" w:rsidRDefault="00DA611E" w:rsidP="009450EC">
      <w:pPr>
        <w:pStyle w:val="p1a"/>
      </w:pPr>
      <w:r>
        <w:t xml:space="preserve">There </w:t>
      </w:r>
      <w:r w:rsidR="00143E69">
        <w:t>is</w:t>
      </w:r>
      <w:r>
        <w:t xml:space="preserve"> </w:t>
      </w:r>
      <w:r w:rsidR="00D85E85">
        <w:t>a wide range of recent</w:t>
      </w:r>
      <w:r w:rsidR="00997C4B">
        <w:t xml:space="preserve"> </w:t>
      </w:r>
      <w:r w:rsidR="00D85E85">
        <w:t xml:space="preserve">research on the application of </w:t>
      </w:r>
      <w:r w:rsidR="007240B2">
        <w:t>ensemble methods</w:t>
      </w:r>
      <w:r w:rsidR="00D85E85">
        <w:t xml:space="preserve"> to stock market prediction.</w:t>
      </w:r>
      <w:r w:rsidR="007240B2">
        <w:t xml:space="preserve"> Ballings et al. </w:t>
      </w:r>
      <w:r w:rsidR="007240B2">
        <w:fldChar w:fldCharType="begin" w:fldLock="1"/>
      </w:r>
      <w:r w:rsidR="00D127FB">
        <w:instrText>ADDIN CSL_CITATION { "citationItems" : [ { "id" : "ITEM-1", "itemData" : { "DOI" : "10.1016/j.eswa.2015.05.013", "ISSN" : "09574174", "abstract" : "Stock price direction prediction is an important issue in the financial world. Even small improvements in predictive performance can be very profitable. The purpose of this paper is to benchmark ensemble methods (Random Forest, AdaBoost and Kernel Factory) against single classifier models (Neural Networks, Logistic Regression, Support Vector Machines and K-Nearest Neighbor). We gathered data from 5767 publicly listed European companies and used the area under the receiver operating characteristic curve (AUC) as a performance measure. Our predictions are one year ahead. The results indicate that Random Forest is the top algorithm followed by Support Vector Machines, Kernel Factory, AdaBoost, Neural Networks, K-Nearest Neighbors and Logistic Regression. This study contributes to literature in that it is, to the best of our knowledge, the first to make such an extensive benchmark. The results clearly suggest that novel studies in the domain of stock price direction prediction should include ensembles in their sets of algorithms. Our extensive literature review evidently indicates that this is currently not the case.", "author" : [ { "dropping-particle" : "", "family" : "Ballings", "given" : "Michel", "non-dropping-particle" : "", "parse-names" : false, "suffix" : "" }, { "dropping-particle" : "", "family" : "Poel", "given" : "Dirk", "non-dropping-particle" : "Van Den", "parse-names" : false, "suffix" : "" }, { "dropping-particle" : "", "family" : "Hespeels", "given" : "Nathalie", "non-dropping-particle" : "", "parse-names" : false, "suffix" : "" }, { "dropping-particle" : "", "family" : "Gryp", "given" : "Ruben", "non-dropping-particle" : "", "parse-names" : false, "suffix" : "" } ], "container-title" : "Expert Systems with Applications", "id" : "ITEM-1", "issue" : "20", "issued" : { "date-parts" : [ [ "2015" ] ] }, "page" : "7046-7056", "publisher" : "Elsevier Ltd", "title" : "Evaluating multiple classifiers for stock price direction prediction", "type" : "article-journal", "volume" : "42" }, "uris" : [ "http://www.mendeley.com/documents/?uuid=309194ce-2636-4a64-bf6e-8fdc055f4732" ] } ], "mendeley" : { "formattedCitation" : "[5]", "plainTextFormattedCitation" : "[5]", "previouslyFormattedCitation" : "[5]" }, "properties" : { "noteIndex" : 0 }, "schema" : "https://github.com/citation-style-language/schema/raw/master/csl-citation.json" }</w:instrText>
      </w:r>
      <w:r w:rsidR="007240B2">
        <w:fldChar w:fldCharType="separate"/>
      </w:r>
      <w:r w:rsidR="007D2260" w:rsidRPr="007D2260">
        <w:rPr>
          <w:noProof/>
        </w:rPr>
        <w:t>[5]</w:t>
      </w:r>
      <w:r w:rsidR="007240B2">
        <w:fldChar w:fldCharType="end"/>
      </w:r>
      <w:r w:rsidR="007240B2">
        <w:t xml:space="preserve"> benchmarked the performance of Random Forests, AdaBoost and Kernel Factory</w:t>
      </w:r>
      <w:r>
        <w:rPr>
          <w:rStyle w:val="FootnoteReference"/>
        </w:rPr>
        <w:footnoteReference w:id="1"/>
      </w:r>
      <w:r w:rsidR="007240B2">
        <w:t xml:space="preserve"> against single classifier models. They used data on 5767 publicly listed European companies for one year ahead price predictions and found Random Forest</w:t>
      </w:r>
      <w:r>
        <w:t>s</w:t>
      </w:r>
      <w:r w:rsidR="007240B2">
        <w:t xml:space="preserve"> to be the top performer with </w:t>
      </w:r>
      <w:r>
        <w:t>the three ensemble methods</w:t>
      </w:r>
      <w:r w:rsidR="00143E69">
        <w:t xml:space="preserve"> ranked</w:t>
      </w:r>
      <w:r>
        <w:t xml:space="preserve"> in the top four. They </w:t>
      </w:r>
      <w:r w:rsidR="007240B2">
        <w:t>recomme</w:t>
      </w:r>
      <w:r>
        <w:t>nded</w:t>
      </w:r>
      <w:r w:rsidR="007240B2">
        <w:t xml:space="preserve"> that new studies should include </w:t>
      </w:r>
      <w:r>
        <w:t xml:space="preserve">ensemble methods </w:t>
      </w:r>
      <w:r w:rsidR="007240B2">
        <w:t xml:space="preserve">in their </w:t>
      </w:r>
      <w:r w:rsidR="00F03443">
        <w:t xml:space="preserve">test </w:t>
      </w:r>
      <w:r w:rsidR="007240B2">
        <w:t xml:space="preserve">set </w:t>
      </w:r>
      <w:r>
        <w:t>of</w:t>
      </w:r>
      <w:r w:rsidR="007240B2">
        <w:t xml:space="preserve"> algorithms.</w:t>
      </w:r>
      <w:r w:rsidR="001B5AC7">
        <w:t xml:space="preserve"> </w:t>
      </w:r>
      <w:r w:rsidR="00BB4A8F">
        <w:rPr>
          <w:rFonts w:cs="Times"/>
          <w:noProof/>
          <w:szCs w:val="24"/>
        </w:rPr>
        <w:t xml:space="preserve">Yutong and </w:t>
      </w:r>
      <w:r w:rsidR="00BB4A8F" w:rsidRPr="00BB4A8F">
        <w:rPr>
          <w:rFonts w:cs="Times"/>
          <w:noProof/>
          <w:szCs w:val="24"/>
        </w:rPr>
        <w:t>Zhao</w:t>
      </w:r>
      <w:r w:rsidR="00BB4A8F">
        <w:t xml:space="preserve"> </w:t>
      </w:r>
      <w:r w:rsidR="00BB4A8F">
        <w:fldChar w:fldCharType="begin" w:fldLock="1"/>
      </w:r>
      <w:r w:rsidR="00D127FB">
        <w:instrText>ADDIN CSL_CITATION { "citationItems" : [ { "id" : "ITEM-1", "itemData" : { "ISBN" : "9780956715753", "author" : [ { "dropping-particle" : "", "family" : "Yutong", "given" : "Sun", "non-dropping-particle" : "", "parse-names" : false, "suffix" : "" }, { "dropping-particle" : "", "family" : "Zhao", "given" : "Hanqing", "non-dropping-particle" : "", "parse-names" : false, "suffix" : "" } ], "id" : "ITEM-1", "issue" : "Icmic", "issued" : { "date-parts" : [ [ "2015" ] ] }, "page" : "1-7", "title" : "Stock Selection Model Based on Advanced AdaBoost Algorithm", "type" : "article-journal" }, "uris" : [ "http://www.mendeley.com/documents/?uuid=f3dad7a8-d2c6-4f17-99b5-7b5910ecc911" ] } ], "mendeley" : { "formattedCitation" : "[6]", "plainTextFormattedCitation" : "[6]", "previouslyFormattedCitation" : "[6]" }, "properties" : { "noteIndex" : 0 }, "schema" : "https://github.com/citation-style-language/schema/raw/master/csl-citation.json" }</w:instrText>
      </w:r>
      <w:r w:rsidR="00BB4A8F">
        <w:fldChar w:fldCharType="separate"/>
      </w:r>
      <w:r w:rsidR="007D2260" w:rsidRPr="007D2260">
        <w:rPr>
          <w:noProof/>
        </w:rPr>
        <w:t>[6]</w:t>
      </w:r>
      <w:r w:rsidR="00BB4A8F">
        <w:fldChar w:fldCharType="end"/>
      </w:r>
      <w:r w:rsidR="00BB4A8F">
        <w:t xml:space="preserve"> used AdaBoost to classify Shanghai A-share stocks as good or bad based on </w:t>
      </w:r>
      <w:r w:rsidR="00F03443">
        <w:t>their</w:t>
      </w:r>
      <w:r w:rsidR="00BB4A8F">
        <w:t xml:space="preserve"> historical returns </w:t>
      </w:r>
      <w:r w:rsidR="00120F8B">
        <w:t xml:space="preserve">along </w:t>
      </w:r>
      <w:r w:rsidR="00BB4A8F">
        <w:t xml:space="preserve">with other fundamental factors. The basic AdaBoost algorithm selected stocks that generated higher </w:t>
      </w:r>
      <w:r w:rsidR="00F03443">
        <w:t>than average returns over the following</w:t>
      </w:r>
      <w:r w:rsidR="00BB4A8F">
        <w:t xml:space="preserve"> year.</w:t>
      </w:r>
      <w:r w:rsidR="00120F8B">
        <w:t xml:space="preserve"> </w:t>
      </w:r>
      <w:r w:rsidR="00120F8B" w:rsidRPr="00120F8B">
        <w:t>Z</w:t>
      </w:r>
      <w:r w:rsidR="00120F8B">
        <w:t xml:space="preserve">hou et al. </w:t>
      </w:r>
      <w:r w:rsidR="00120F8B">
        <w:fldChar w:fldCharType="begin" w:fldLock="1"/>
      </w:r>
      <w:r w:rsidR="00D127FB">
        <w:instrText>ADDIN CSL_CITATION { "citationItems" : [ { "id" : "ITEM-1", "itemData" : { "DOI" : "10.1080/14697688.2015.1032541", "ISSN" : "1469-7688", "abstract" : "This paper proposes a performance-driven gradient boosting model (pdGBM)\\nwhich predicts short-horizon price movements by combining nonlinear\\nresponse functions of selected predictors. This model performs gradient\\ndescent in a constrained functional space by directly minimizing loss\\nfunctions customized with different trading performance measurements. To\\ndemonstrate its practical applications, a simple trading system was\\ndesigned with trading signals constructed from pdGBM predictions and\\nfixed holding period in each trade. We tested this trading system on the\\nhigh-frequency data of SPDR S&amp;P 500 index ETF (SPY). In the\\nout-of-sample period, it generated an average of 0.045% return per\\ntrade and an annualized Sharpe ratio close to 20 after transaction\\ncosts. Various empirical results also showed the model robustness to\\ndifferent parameters. These superior performances confirm the\\npredictability of short-horizon price movements in the US equity market.\\nWe also compared the performance of this trading system with similar\\ntrading systems based on other predictive models like the gradient\\nboosting model with L2 loss function and the penalized linear model.\\nResults showed that pdGBM substantially outperformed all other models by\\nhigher returns in each month of the testing period. Additionally, pdGBM\\nhas many advantages including its capability of automatic predictor\\nselection and nonlinear pattern recognition, as well as its simply\\nstructured and interpretable output function.", "author" : [ { "dropping-particle" : "", "family" : "Zhou", "given" : "Nan", "non-dropping-particle" : "", "parse-names" : false, "suffix" : "" }, { "dropping-particle" : "", "family" : "Cheng", "given" : "Wen", "non-dropping-particle" : "", "parse-names" : false, "suffix" : "" }, { "dropping-particle" : "", "family" : "Qin", "given" : "Yichen", "non-dropping-particle" : "", "parse-names" : false, "suffix" : "" }, { "dropping-particle" : "", "family" : "Yin", "given" : "Zongcheng", "non-dropping-particle" : "", "parse-names" : false, "suffix" : "" } ], "container-title" : "Quantitative Finance", "id" : "ITEM-1", "issue" : "8, SI", "issued" : { "date-parts" : [ [ "2015" ] ] }, "page" : "1387-1403", "title" : "Evolution of high-frequency systematic trading: a performance-driven gradient boosting model", "type" : "article-journal", "volume" : "15" }, "uris" : [ "http://www.mendeley.com/documents/?uuid=343218f3-d5dc-4872-b4bd-7c372a10c84a" ] } ], "mendeley" : { "formattedCitation" : "[7]", "plainTextFormattedCitation" : "[7]", "previouslyFormattedCitation" : "[7]" }, "properties" : { "noteIndex" : 0 }, "schema" : "https://github.com/citation-style-language/schema/raw/master/csl-citation.json" }</w:instrText>
      </w:r>
      <w:r w:rsidR="00120F8B">
        <w:fldChar w:fldCharType="separate"/>
      </w:r>
      <w:r w:rsidR="007D2260" w:rsidRPr="007D2260">
        <w:rPr>
          <w:noProof/>
        </w:rPr>
        <w:t>[7]</w:t>
      </w:r>
      <w:r w:rsidR="00120F8B">
        <w:fldChar w:fldCharType="end"/>
      </w:r>
      <w:r w:rsidR="00120F8B">
        <w:t xml:space="preserve"> applied a modified gradient boosted </w:t>
      </w:r>
      <w:r w:rsidR="00F95957">
        <w:t>model for short-term prediction of price movement. Their simple trading system utilising the model generated significant net average returns of 0.045% per trade. The ensemble technique has also seen other hybrid approaches</w:t>
      </w:r>
      <w:r w:rsidR="00ED16E8">
        <w:t>.</w:t>
      </w:r>
      <w:r w:rsidR="009450EC">
        <w:t xml:space="preserve"> </w:t>
      </w:r>
      <w:r w:rsidR="00ED16E8">
        <w:t xml:space="preserve">Narayanan </w:t>
      </w:r>
      <w:r w:rsidR="00ED16E8">
        <w:fldChar w:fldCharType="begin" w:fldLock="1"/>
      </w:r>
      <w:r w:rsidR="00D127FB">
        <w:instrText>ADDIN CSL_CITATION { "citationItems" : [ { "id" : "ITEM-1", "itemData" : { "author" : [ { "dropping-particle" : "", "family" : "Narayanan", "given" : "B", "non-dropping-particle" : "", "parse-names" : false, "suffix" : "" } ], "id" : "ITEM-1", "issue" : "1", "issued" : { "date-parts" : [ [ "2015" ] ] }, "page" : "18-21", "title" : "Prediction of Stock Market using Ensemble Model", "type" : "article-journal", "volume" : "128" }, "uris" : [ "http://www.mendeley.com/documents/?uuid=ab788135-8a71-4cb5-9233-da48140c8784" ] } ], "mendeley" : { "formattedCitation" : "[8]", "plainTextFormattedCitation" : "[8]", "previouslyFormattedCitation" : "[8]" }, "properties" : { "noteIndex" : 0 }, "schema" : "https://github.com/citation-style-language/schema/raw/master/csl-citation.json" }</w:instrText>
      </w:r>
      <w:r w:rsidR="00ED16E8">
        <w:fldChar w:fldCharType="separate"/>
      </w:r>
      <w:r w:rsidR="007D2260" w:rsidRPr="007D2260">
        <w:rPr>
          <w:noProof/>
        </w:rPr>
        <w:t>[8]</w:t>
      </w:r>
      <w:r w:rsidR="00ED16E8">
        <w:fldChar w:fldCharType="end"/>
      </w:r>
      <w:r w:rsidR="00ED16E8">
        <w:t xml:space="preserve"> combined AdaBoost with Support Vector Machine and also Naïve Bayes for stock price prediction. It was showed that accuracy and error rate were improved over the single classifier performance.</w:t>
      </w:r>
      <w:r w:rsidR="00ED16E8" w:rsidRPr="00ED16E8">
        <w:t xml:space="preserve"> </w:t>
      </w:r>
      <w:r w:rsidR="00ED16E8">
        <w:t xml:space="preserve">Rodriguez </w:t>
      </w:r>
      <w:r w:rsidR="00ED16E8">
        <w:fldChar w:fldCharType="begin" w:fldLock="1"/>
      </w:r>
      <w:r w:rsidR="00D127FB">
        <w:instrText>ADDIN CSL_CITATION { "citationItems" : [ { "id" : "ITEM-1", "itemData" : { "ISBN" : "1853127094", "author" : [ { "dropping-particle" : "", "family" : "Rodriguez", "given" : "Pn", "non-dropping-particle" : "", "parse-names" : false, "suffix" : "" }, { "dropping-particle" : "", "family" : "Rodriguez", "given" : "Arnulfo", "non-dropping-particle" : "", "parse-names" : false, "suffix" : "" } ], "container-title" : "Computational Finance and its \u2026", "id" : "ITEM-1", "issued" : { "date-parts" : [ [ "2004" ] ] }, "title" : "Predicting stock market indices movements", "type" : "article-journal" }, "uris" : [ "http://www.mendeley.com/documents/?uuid=ccc374a4-596f-42c3-b338-9c8e059b6399" ] } ], "mendeley" : { "formattedCitation" : "[9]", "plainTextFormattedCitation" : "[9]", "previouslyFormattedCitation" : "[9]" }, "properties" : { "noteIndex" : 0 }, "schema" : "https://github.com/citation-style-language/schema/raw/master/csl-citation.json" }</w:instrText>
      </w:r>
      <w:r w:rsidR="00ED16E8">
        <w:fldChar w:fldCharType="separate"/>
      </w:r>
      <w:r w:rsidR="007D2260" w:rsidRPr="007D2260">
        <w:rPr>
          <w:noProof/>
        </w:rPr>
        <w:t>[9]</w:t>
      </w:r>
      <w:r w:rsidR="00ED16E8">
        <w:fldChar w:fldCharType="end"/>
      </w:r>
      <w:r w:rsidR="00ED16E8">
        <w:t xml:space="preserve"> looked at </w:t>
      </w:r>
      <w:r w:rsidR="009450EC">
        <w:t>predicting the</w:t>
      </w:r>
      <w:r w:rsidR="00ED16E8">
        <w:t xml:space="preserve"> </w:t>
      </w:r>
      <w:r w:rsidR="009450EC">
        <w:t xml:space="preserve">direction of the </w:t>
      </w:r>
      <w:r w:rsidR="00ED16E8">
        <w:t xml:space="preserve">daily </w:t>
      </w:r>
      <w:r w:rsidR="009450EC">
        <w:t>index close</w:t>
      </w:r>
      <w:r w:rsidR="00ED16E8">
        <w:t xml:space="preserve"> for </w:t>
      </w:r>
      <w:r w:rsidR="009450EC">
        <w:t xml:space="preserve">three </w:t>
      </w:r>
      <w:r w:rsidR="00ED16E8">
        <w:t>exchanges: IPC (Mexico), KLSE (Malaysia) and Bovespa (Brazil) from 1990 to 2003.</w:t>
      </w:r>
      <w:r w:rsidR="009450EC">
        <w:t xml:space="preserve"> A number of classifiers where used including, Neural Network, Random Forest and Gradient Boosted Machine. The Random Forest model was the only classifier to perform better that random for all three exchanges.</w:t>
      </w:r>
    </w:p>
    <w:p w:rsidR="00320C84" w:rsidRDefault="00320C84" w:rsidP="00320C84">
      <w:pPr>
        <w:pStyle w:val="heading10"/>
        <w:rPr>
          <w:szCs w:val="24"/>
        </w:rPr>
      </w:pPr>
      <w:r w:rsidRPr="007134C2">
        <w:rPr>
          <w:szCs w:val="24"/>
        </w:rPr>
        <w:t>3</w:t>
      </w:r>
      <w:r w:rsidR="00375E67" w:rsidRPr="007134C2">
        <w:rPr>
          <w:szCs w:val="24"/>
        </w:rPr>
        <w:t>.</w:t>
      </w:r>
      <w:r w:rsidRPr="007134C2">
        <w:rPr>
          <w:szCs w:val="24"/>
        </w:rPr>
        <w:t xml:space="preserve"> </w:t>
      </w:r>
      <w:r w:rsidR="00E92617" w:rsidRPr="007134C2">
        <w:rPr>
          <w:szCs w:val="24"/>
        </w:rPr>
        <w:t>Model Detail</w:t>
      </w:r>
      <w:r w:rsidRPr="007134C2">
        <w:rPr>
          <w:szCs w:val="24"/>
        </w:rPr>
        <w:t xml:space="preserve"> </w:t>
      </w:r>
    </w:p>
    <w:p w:rsidR="000777D3" w:rsidRDefault="000777D3" w:rsidP="000777D3">
      <w:pPr>
        <w:pStyle w:val="p1a"/>
        <w:rPr>
          <w:b/>
          <w:i/>
          <w:sz w:val="24"/>
          <w:szCs w:val="24"/>
        </w:rPr>
      </w:pPr>
      <w:r>
        <w:rPr>
          <w:b/>
          <w:i/>
          <w:sz w:val="24"/>
          <w:szCs w:val="24"/>
        </w:rPr>
        <w:t>3.1 Data Set</w:t>
      </w:r>
    </w:p>
    <w:p w:rsidR="00D127FB" w:rsidRDefault="00D127FB" w:rsidP="00D127FB">
      <w:pPr>
        <w:ind w:firstLine="0"/>
      </w:pPr>
      <w:r>
        <w:t xml:space="preserve">The data set consists of a combination of daily price and volume data downloaded from GKFX.com </w:t>
      </w:r>
      <w:r>
        <w:fldChar w:fldCharType="begin" w:fldLock="1"/>
      </w:r>
      <w:r w:rsidR="00B9257D">
        <w:instrText>ADDIN CSL_CITATION { "citationItems" : [ { "id" : "ITEM-1", "itemData" : { "URL" : "https://www.gkfx.com/Platforms", "accessed" : { "date-parts" : [ [ "2017", "4", "2" ] ] }, "id" : "ITEM-1", "issued" : { "date-parts" : [ [ "0" ] ] }, "title" : "Platforms | GKFX", "type" : "webpage" }, "uris" : [ "http://www.mendeley.com/documents/?uuid=e02290e7-f205-3c63-835a-f7f2639e3e28" ] } ], "mendeley" : { "formattedCitation" : "[10]", "plainTextFormattedCitation" : "[10]", "previouslyFormattedCitation" : "[10]" }, "properties" : { "noteIndex" : 0 }, "schema" : "https://github.com/citation-style-language/schema/raw/master/csl-citation.json" }</w:instrText>
      </w:r>
      <w:r>
        <w:fldChar w:fldCharType="separate"/>
      </w:r>
      <w:r w:rsidRPr="00D127FB">
        <w:rPr>
          <w:noProof/>
        </w:rPr>
        <w:t>[10]</w:t>
      </w:r>
      <w:r>
        <w:fldChar w:fldCharType="end"/>
      </w:r>
      <w:r w:rsidR="001710CB">
        <w:t>,</w:t>
      </w:r>
      <w:r>
        <w:t xml:space="preserve"> </w:t>
      </w:r>
      <w:r w:rsidR="001710CB">
        <w:t>some</w:t>
      </w:r>
      <w:r>
        <w:t xml:space="preserve"> generated time related </w:t>
      </w:r>
      <w:r w:rsidR="00D75CA1">
        <w:t xml:space="preserve">features </w:t>
      </w:r>
      <w:r>
        <w:t xml:space="preserve">and </w:t>
      </w:r>
      <w:r w:rsidR="00D75CA1">
        <w:t>basic technical indicators</w:t>
      </w:r>
      <w:r w:rsidR="00C514A1">
        <w:t xml:space="preserve">. </w:t>
      </w:r>
      <w:r>
        <w:t xml:space="preserve">The </w:t>
      </w:r>
      <w:r w:rsidR="00D75CA1">
        <w:t>GKFX</w:t>
      </w:r>
      <w:r>
        <w:t xml:space="preserve"> data </w:t>
      </w:r>
      <w:r w:rsidR="00FE3736">
        <w:t>is made up the following features:</w:t>
      </w:r>
    </w:p>
    <w:p w:rsidR="00D127FB" w:rsidRDefault="00D127FB" w:rsidP="00D127FB">
      <w:pPr>
        <w:ind w:firstLine="0"/>
      </w:pPr>
    </w:p>
    <w:tbl>
      <w:tblPr>
        <w:tblStyle w:val="TableGrid"/>
        <w:tblW w:w="0" w:type="auto"/>
        <w:tblInd w:w="250" w:type="dxa"/>
        <w:tblLook w:val="04A0" w:firstRow="1" w:lastRow="0" w:firstColumn="1" w:lastColumn="0" w:noHBand="0" w:noVBand="1"/>
      </w:tblPr>
      <w:tblGrid>
        <w:gridCol w:w="1276"/>
        <w:gridCol w:w="2977"/>
      </w:tblGrid>
      <w:tr w:rsidR="00D127FB" w:rsidTr="001F1B99">
        <w:tc>
          <w:tcPr>
            <w:tcW w:w="1276" w:type="dxa"/>
          </w:tcPr>
          <w:p w:rsidR="00D127FB" w:rsidRPr="001912D7" w:rsidRDefault="00D127FB" w:rsidP="00D127FB">
            <w:pPr>
              <w:ind w:firstLine="0"/>
              <w:rPr>
                <w:b/>
              </w:rPr>
            </w:pPr>
            <w:r w:rsidRPr="001912D7">
              <w:rPr>
                <w:b/>
              </w:rPr>
              <w:t>Open</w:t>
            </w:r>
          </w:p>
        </w:tc>
        <w:tc>
          <w:tcPr>
            <w:tcW w:w="2977" w:type="dxa"/>
          </w:tcPr>
          <w:p w:rsidR="00D127FB" w:rsidRDefault="00D127FB" w:rsidP="00D127FB">
            <w:pPr>
              <w:ind w:firstLine="0"/>
            </w:pPr>
            <w:r>
              <w:t>Opening price for the day</w:t>
            </w:r>
          </w:p>
        </w:tc>
      </w:tr>
      <w:tr w:rsidR="00D127FB" w:rsidTr="001F1B99">
        <w:tc>
          <w:tcPr>
            <w:tcW w:w="1276" w:type="dxa"/>
          </w:tcPr>
          <w:p w:rsidR="00D127FB" w:rsidRPr="001912D7" w:rsidRDefault="00D127FB" w:rsidP="00D127FB">
            <w:pPr>
              <w:ind w:firstLine="0"/>
              <w:rPr>
                <w:b/>
              </w:rPr>
            </w:pPr>
            <w:r w:rsidRPr="001912D7">
              <w:rPr>
                <w:b/>
              </w:rPr>
              <w:t>High</w:t>
            </w:r>
          </w:p>
        </w:tc>
        <w:tc>
          <w:tcPr>
            <w:tcW w:w="2977" w:type="dxa"/>
          </w:tcPr>
          <w:p w:rsidR="00D127FB" w:rsidRDefault="00D127FB" w:rsidP="00D127FB">
            <w:pPr>
              <w:ind w:firstLine="0"/>
            </w:pPr>
            <w:r>
              <w:t>Highest price for the day</w:t>
            </w:r>
          </w:p>
        </w:tc>
      </w:tr>
      <w:tr w:rsidR="00D127FB" w:rsidTr="001F1B99">
        <w:tc>
          <w:tcPr>
            <w:tcW w:w="1276" w:type="dxa"/>
          </w:tcPr>
          <w:p w:rsidR="00D127FB" w:rsidRPr="001912D7" w:rsidRDefault="00D127FB" w:rsidP="00D127FB">
            <w:pPr>
              <w:ind w:firstLine="0"/>
              <w:rPr>
                <w:b/>
              </w:rPr>
            </w:pPr>
            <w:r w:rsidRPr="001912D7">
              <w:rPr>
                <w:b/>
              </w:rPr>
              <w:t>Low</w:t>
            </w:r>
          </w:p>
        </w:tc>
        <w:tc>
          <w:tcPr>
            <w:tcW w:w="2977" w:type="dxa"/>
          </w:tcPr>
          <w:p w:rsidR="00D127FB" w:rsidRDefault="00D127FB" w:rsidP="00D127FB">
            <w:pPr>
              <w:ind w:firstLine="0"/>
            </w:pPr>
            <w:r>
              <w:t>Lowest price for the day</w:t>
            </w:r>
          </w:p>
        </w:tc>
      </w:tr>
      <w:tr w:rsidR="00D127FB" w:rsidTr="001F1B99">
        <w:tc>
          <w:tcPr>
            <w:tcW w:w="1276" w:type="dxa"/>
          </w:tcPr>
          <w:p w:rsidR="00D127FB" w:rsidRPr="001912D7" w:rsidRDefault="00D127FB" w:rsidP="00D127FB">
            <w:pPr>
              <w:ind w:firstLine="0"/>
              <w:rPr>
                <w:b/>
              </w:rPr>
            </w:pPr>
            <w:r w:rsidRPr="001912D7">
              <w:rPr>
                <w:b/>
              </w:rPr>
              <w:t>Close</w:t>
            </w:r>
          </w:p>
        </w:tc>
        <w:tc>
          <w:tcPr>
            <w:tcW w:w="2977" w:type="dxa"/>
          </w:tcPr>
          <w:p w:rsidR="00D127FB" w:rsidRDefault="00D127FB" w:rsidP="00D127FB">
            <w:pPr>
              <w:ind w:firstLine="0"/>
            </w:pPr>
            <w:r>
              <w:t>Closing price of the day</w:t>
            </w:r>
          </w:p>
        </w:tc>
      </w:tr>
      <w:tr w:rsidR="00D127FB" w:rsidTr="001F1B99">
        <w:tc>
          <w:tcPr>
            <w:tcW w:w="1276" w:type="dxa"/>
          </w:tcPr>
          <w:p w:rsidR="00D127FB" w:rsidRPr="001912D7" w:rsidRDefault="00D127FB" w:rsidP="00D127FB">
            <w:pPr>
              <w:ind w:firstLine="0"/>
              <w:rPr>
                <w:b/>
              </w:rPr>
            </w:pPr>
            <w:r w:rsidRPr="001912D7">
              <w:rPr>
                <w:b/>
              </w:rPr>
              <w:t>Volume</w:t>
            </w:r>
          </w:p>
        </w:tc>
        <w:tc>
          <w:tcPr>
            <w:tcW w:w="2977" w:type="dxa"/>
          </w:tcPr>
          <w:p w:rsidR="00D127FB" w:rsidRDefault="00D127FB" w:rsidP="00D127FB">
            <w:pPr>
              <w:ind w:firstLine="0"/>
            </w:pPr>
            <w:r>
              <w:t>Total volume traded (via GKFX)</w:t>
            </w:r>
          </w:p>
        </w:tc>
      </w:tr>
    </w:tbl>
    <w:p w:rsidR="00D127FB" w:rsidRDefault="00D127FB" w:rsidP="00D127FB">
      <w:pPr>
        <w:ind w:firstLine="0"/>
      </w:pPr>
    </w:p>
    <w:p w:rsidR="00D127FB" w:rsidRDefault="00D127FB" w:rsidP="00D127FB">
      <w:pPr>
        <w:ind w:firstLine="0"/>
      </w:pPr>
      <w:r>
        <w:lastRenderedPageBreak/>
        <w:t>The following features are added in an attempt to capture some of the time related behaviour of the price data.</w:t>
      </w:r>
    </w:p>
    <w:p w:rsidR="00D127FB" w:rsidRDefault="00D127FB" w:rsidP="00D127FB">
      <w:pPr>
        <w:ind w:firstLine="0"/>
      </w:pPr>
    </w:p>
    <w:tbl>
      <w:tblPr>
        <w:tblStyle w:val="TableGrid"/>
        <w:tblW w:w="0" w:type="auto"/>
        <w:tblInd w:w="250" w:type="dxa"/>
        <w:tblLook w:val="04A0" w:firstRow="1" w:lastRow="0" w:firstColumn="1" w:lastColumn="0" w:noHBand="0" w:noVBand="1"/>
      </w:tblPr>
      <w:tblGrid>
        <w:gridCol w:w="1418"/>
        <w:gridCol w:w="3260"/>
      </w:tblGrid>
      <w:tr w:rsidR="00D127FB" w:rsidTr="001F1B99">
        <w:tc>
          <w:tcPr>
            <w:tcW w:w="1418" w:type="dxa"/>
          </w:tcPr>
          <w:p w:rsidR="00D127FB" w:rsidRPr="001912D7" w:rsidRDefault="00D127FB" w:rsidP="00A6567D">
            <w:pPr>
              <w:ind w:firstLine="0"/>
              <w:rPr>
                <w:b/>
              </w:rPr>
            </w:pPr>
            <w:r w:rsidRPr="001912D7">
              <w:rPr>
                <w:b/>
              </w:rPr>
              <w:t>DayOfMonth</w:t>
            </w:r>
          </w:p>
        </w:tc>
        <w:tc>
          <w:tcPr>
            <w:tcW w:w="3260" w:type="dxa"/>
          </w:tcPr>
          <w:p w:rsidR="00D127FB" w:rsidRDefault="001F1B99" w:rsidP="00A6567D">
            <w:pPr>
              <w:ind w:firstLine="0"/>
            </w:pPr>
            <w:r>
              <w:t>Day of the month (1 – 31)</w:t>
            </w:r>
          </w:p>
        </w:tc>
      </w:tr>
      <w:tr w:rsidR="00D127FB" w:rsidTr="001F1B99">
        <w:tc>
          <w:tcPr>
            <w:tcW w:w="1418" w:type="dxa"/>
          </w:tcPr>
          <w:p w:rsidR="00D127FB" w:rsidRPr="001912D7" w:rsidRDefault="00D127FB" w:rsidP="00A6567D">
            <w:pPr>
              <w:ind w:firstLine="0"/>
              <w:rPr>
                <w:b/>
              </w:rPr>
            </w:pPr>
            <w:r w:rsidRPr="001912D7">
              <w:rPr>
                <w:b/>
              </w:rPr>
              <w:t>DayOfWeek</w:t>
            </w:r>
          </w:p>
        </w:tc>
        <w:tc>
          <w:tcPr>
            <w:tcW w:w="3260" w:type="dxa"/>
          </w:tcPr>
          <w:p w:rsidR="00D127FB" w:rsidRDefault="001F1B99" w:rsidP="00A6567D">
            <w:pPr>
              <w:ind w:firstLine="0"/>
            </w:pPr>
            <w:r>
              <w:t>Day of the week (0= Mon…6=Sun)</w:t>
            </w:r>
          </w:p>
        </w:tc>
      </w:tr>
      <w:tr w:rsidR="00D127FB" w:rsidTr="001F1B99">
        <w:tc>
          <w:tcPr>
            <w:tcW w:w="1418" w:type="dxa"/>
          </w:tcPr>
          <w:p w:rsidR="00D127FB" w:rsidRPr="001912D7" w:rsidRDefault="00D127FB" w:rsidP="00A6567D">
            <w:pPr>
              <w:ind w:firstLine="0"/>
              <w:rPr>
                <w:b/>
              </w:rPr>
            </w:pPr>
            <w:r w:rsidRPr="001912D7">
              <w:rPr>
                <w:b/>
              </w:rPr>
              <w:t>WeekOfYear</w:t>
            </w:r>
          </w:p>
        </w:tc>
        <w:tc>
          <w:tcPr>
            <w:tcW w:w="3260" w:type="dxa"/>
          </w:tcPr>
          <w:p w:rsidR="00D127FB" w:rsidRDefault="001F1B99" w:rsidP="00A6567D">
            <w:pPr>
              <w:ind w:firstLine="0"/>
            </w:pPr>
            <w:r>
              <w:t>Week of the year (1 – 52)</w:t>
            </w:r>
          </w:p>
        </w:tc>
      </w:tr>
    </w:tbl>
    <w:p w:rsidR="00D127FB" w:rsidRDefault="00D127FB" w:rsidP="00D127FB">
      <w:pPr>
        <w:ind w:firstLine="0"/>
      </w:pPr>
    </w:p>
    <w:p w:rsidR="00D127FB" w:rsidRDefault="001F1B99" w:rsidP="00D127FB">
      <w:pPr>
        <w:ind w:firstLine="0"/>
      </w:pPr>
      <w:r>
        <w:t>The technical indicators were added to capture some idea of the direction and trend of the daily price movement.</w:t>
      </w:r>
    </w:p>
    <w:p w:rsidR="001F1B99" w:rsidRDefault="001F1B99" w:rsidP="00D127FB">
      <w:pPr>
        <w:ind w:firstLine="0"/>
      </w:pPr>
    </w:p>
    <w:tbl>
      <w:tblPr>
        <w:tblStyle w:val="TableGrid"/>
        <w:tblW w:w="0" w:type="auto"/>
        <w:tblInd w:w="250" w:type="dxa"/>
        <w:tblLook w:val="04A0" w:firstRow="1" w:lastRow="0" w:firstColumn="1" w:lastColumn="0" w:noHBand="0" w:noVBand="1"/>
      </w:tblPr>
      <w:tblGrid>
        <w:gridCol w:w="1415"/>
        <w:gridCol w:w="4958"/>
      </w:tblGrid>
      <w:tr w:rsidR="001F1B99" w:rsidTr="001F1B99">
        <w:tc>
          <w:tcPr>
            <w:tcW w:w="1418" w:type="dxa"/>
          </w:tcPr>
          <w:p w:rsidR="001F1B99" w:rsidRPr="001912D7" w:rsidRDefault="004E2DE8" w:rsidP="00D127FB">
            <w:pPr>
              <w:ind w:firstLine="0"/>
              <w:rPr>
                <w:b/>
              </w:rPr>
            </w:pPr>
            <w:r w:rsidRPr="001912D7">
              <w:rPr>
                <w:b/>
              </w:rPr>
              <w:t>d</w:t>
            </w:r>
            <w:r w:rsidR="001F1B99" w:rsidRPr="001912D7">
              <w:rPr>
                <w:b/>
              </w:rPr>
              <w:t>irn</w:t>
            </w:r>
          </w:p>
        </w:tc>
        <w:tc>
          <w:tcPr>
            <w:tcW w:w="5181" w:type="dxa"/>
          </w:tcPr>
          <w:p w:rsidR="001F1B99" w:rsidRDefault="004E2DE8" w:rsidP="00D127FB">
            <w:pPr>
              <w:ind w:firstLine="0"/>
            </w:pPr>
            <w:r>
              <w:t>1 = close &gt; open, 0 = close &lt; open</w:t>
            </w:r>
          </w:p>
        </w:tc>
      </w:tr>
      <w:tr w:rsidR="001F1B99" w:rsidTr="001F1B99">
        <w:tc>
          <w:tcPr>
            <w:tcW w:w="1418" w:type="dxa"/>
          </w:tcPr>
          <w:p w:rsidR="001F1B99" w:rsidRPr="001912D7" w:rsidRDefault="004E2DE8" w:rsidP="00D127FB">
            <w:pPr>
              <w:ind w:firstLine="0"/>
              <w:rPr>
                <w:b/>
              </w:rPr>
            </w:pPr>
            <w:r w:rsidRPr="001912D7">
              <w:rPr>
                <w:b/>
              </w:rPr>
              <w:t>m</w:t>
            </w:r>
            <w:r w:rsidR="001F1B99" w:rsidRPr="001912D7">
              <w:rPr>
                <w:b/>
              </w:rPr>
              <w:t>a0_trend</w:t>
            </w:r>
          </w:p>
        </w:tc>
        <w:tc>
          <w:tcPr>
            <w:tcW w:w="5181" w:type="dxa"/>
          </w:tcPr>
          <w:p w:rsidR="001F1B99" w:rsidRDefault="004E2DE8" w:rsidP="00D127FB">
            <w:pPr>
              <w:ind w:firstLine="0"/>
            </w:pPr>
            <w:r>
              <w:t>1 = close &gt; EMA</w:t>
            </w:r>
            <w:r w:rsidR="007E2210">
              <w:rPr>
                <w:rStyle w:val="FootnoteReference"/>
              </w:rPr>
              <w:footnoteReference w:id="2"/>
            </w:r>
            <w:r>
              <w:t>(close, 10), 0 = close &gt; EMA(close, 10)</w:t>
            </w:r>
          </w:p>
        </w:tc>
      </w:tr>
      <w:tr w:rsidR="001F1B99" w:rsidTr="001F1B99">
        <w:tc>
          <w:tcPr>
            <w:tcW w:w="1418" w:type="dxa"/>
          </w:tcPr>
          <w:p w:rsidR="001F1B99" w:rsidRPr="001912D7" w:rsidRDefault="004E2DE8" w:rsidP="00D127FB">
            <w:pPr>
              <w:ind w:firstLine="0"/>
              <w:rPr>
                <w:b/>
              </w:rPr>
            </w:pPr>
            <w:r w:rsidRPr="001912D7">
              <w:rPr>
                <w:b/>
              </w:rPr>
              <w:t>m</w:t>
            </w:r>
            <w:r w:rsidR="001F1B99" w:rsidRPr="001912D7">
              <w:rPr>
                <w:b/>
              </w:rPr>
              <w:t>a1_trend</w:t>
            </w:r>
          </w:p>
        </w:tc>
        <w:tc>
          <w:tcPr>
            <w:tcW w:w="5181" w:type="dxa"/>
          </w:tcPr>
          <w:p w:rsidR="001F1B99" w:rsidRDefault="004E2DE8" w:rsidP="00D127FB">
            <w:pPr>
              <w:ind w:firstLine="0"/>
            </w:pPr>
            <w:r>
              <w:t>1 = close &gt; EMA(close, 20), 0 = close &gt; EMA(close, 20)</w:t>
            </w:r>
          </w:p>
        </w:tc>
      </w:tr>
      <w:tr w:rsidR="001F1B99" w:rsidTr="001F1B99">
        <w:tc>
          <w:tcPr>
            <w:tcW w:w="1418" w:type="dxa"/>
          </w:tcPr>
          <w:p w:rsidR="001F1B99" w:rsidRPr="001912D7" w:rsidRDefault="004E2DE8" w:rsidP="00D127FB">
            <w:pPr>
              <w:ind w:firstLine="0"/>
              <w:rPr>
                <w:b/>
              </w:rPr>
            </w:pPr>
            <w:r w:rsidRPr="001912D7">
              <w:rPr>
                <w:b/>
              </w:rPr>
              <w:t>m</w:t>
            </w:r>
            <w:r w:rsidR="001F1B99" w:rsidRPr="001912D7">
              <w:rPr>
                <w:b/>
              </w:rPr>
              <w:t>a2_trend</w:t>
            </w:r>
          </w:p>
        </w:tc>
        <w:tc>
          <w:tcPr>
            <w:tcW w:w="5181" w:type="dxa"/>
          </w:tcPr>
          <w:p w:rsidR="001F1B99" w:rsidRDefault="004E2DE8" w:rsidP="00D127FB">
            <w:pPr>
              <w:ind w:firstLine="0"/>
            </w:pPr>
            <w:r>
              <w:t>1 = close &gt; EMA(close, 50), 0 = close &gt; EMA(close, 50)</w:t>
            </w:r>
          </w:p>
        </w:tc>
      </w:tr>
      <w:tr w:rsidR="001F1B99" w:rsidTr="001F1B99">
        <w:tc>
          <w:tcPr>
            <w:tcW w:w="1418" w:type="dxa"/>
          </w:tcPr>
          <w:p w:rsidR="001F1B99" w:rsidRPr="001912D7" w:rsidRDefault="004E2DE8" w:rsidP="00D127FB">
            <w:pPr>
              <w:ind w:firstLine="0"/>
              <w:rPr>
                <w:b/>
              </w:rPr>
            </w:pPr>
            <w:r w:rsidRPr="001912D7">
              <w:rPr>
                <w:b/>
              </w:rPr>
              <w:t>m</w:t>
            </w:r>
            <w:r w:rsidR="001F1B99" w:rsidRPr="001912D7">
              <w:rPr>
                <w:b/>
              </w:rPr>
              <w:t>a3_trend</w:t>
            </w:r>
          </w:p>
        </w:tc>
        <w:tc>
          <w:tcPr>
            <w:tcW w:w="5181" w:type="dxa"/>
          </w:tcPr>
          <w:p w:rsidR="001F1B99" w:rsidRDefault="004E2DE8" w:rsidP="00D127FB">
            <w:pPr>
              <w:ind w:firstLine="0"/>
            </w:pPr>
            <w:r>
              <w:t>1 = close &gt; EMA(close, 100), 0 = close &gt; EMA(close,100)</w:t>
            </w:r>
          </w:p>
        </w:tc>
      </w:tr>
      <w:tr w:rsidR="001F1B99" w:rsidTr="001F1B99">
        <w:tc>
          <w:tcPr>
            <w:tcW w:w="1418" w:type="dxa"/>
          </w:tcPr>
          <w:p w:rsidR="001F1B99" w:rsidRPr="001912D7" w:rsidRDefault="004E2DE8" w:rsidP="00D127FB">
            <w:pPr>
              <w:ind w:firstLine="0"/>
              <w:rPr>
                <w:b/>
              </w:rPr>
            </w:pPr>
            <w:r w:rsidRPr="001912D7">
              <w:rPr>
                <w:b/>
              </w:rPr>
              <w:t>c</w:t>
            </w:r>
            <w:r w:rsidR="001F1B99" w:rsidRPr="001912D7">
              <w:rPr>
                <w:b/>
              </w:rPr>
              <w:t>lose_at_high</w:t>
            </w:r>
          </w:p>
        </w:tc>
        <w:tc>
          <w:tcPr>
            <w:tcW w:w="5181" w:type="dxa"/>
          </w:tcPr>
          <w:p w:rsidR="001F1B99" w:rsidRDefault="004E2DE8" w:rsidP="00D127FB">
            <w:pPr>
              <w:ind w:firstLine="0"/>
            </w:pPr>
            <w:r>
              <w:t>1 = close price equal to highest price of day, otherwise = 0</w:t>
            </w:r>
          </w:p>
        </w:tc>
      </w:tr>
      <w:tr w:rsidR="001F1B99" w:rsidTr="001F1B99">
        <w:tc>
          <w:tcPr>
            <w:tcW w:w="1418" w:type="dxa"/>
          </w:tcPr>
          <w:p w:rsidR="001F1B99" w:rsidRPr="001912D7" w:rsidRDefault="004E2DE8" w:rsidP="00D127FB">
            <w:pPr>
              <w:ind w:firstLine="0"/>
              <w:rPr>
                <w:b/>
              </w:rPr>
            </w:pPr>
            <w:r w:rsidRPr="001912D7">
              <w:rPr>
                <w:b/>
              </w:rPr>
              <w:t>c</w:t>
            </w:r>
            <w:r w:rsidR="001F1B99" w:rsidRPr="001912D7">
              <w:rPr>
                <w:b/>
              </w:rPr>
              <w:t>lose_at_low</w:t>
            </w:r>
          </w:p>
        </w:tc>
        <w:tc>
          <w:tcPr>
            <w:tcW w:w="5181" w:type="dxa"/>
          </w:tcPr>
          <w:p w:rsidR="001F1B99" w:rsidRDefault="004E2DE8" w:rsidP="00D127FB">
            <w:pPr>
              <w:ind w:firstLine="0"/>
            </w:pPr>
            <w:r>
              <w:t>1 = close price equal to lowest price of day, otherwise = 0</w:t>
            </w:r>
          </w:p>
        </w:tc>
      </w:tr>
    </w:tbl>
    <w:p w:rsidR="001F1B99" w:rsidRDefault="001F1B99" w:rsidP="00D127FB">
      <w:pPr>
        <w:ind w:firstLine="0"/>
      </w:pPr>
    </w:p>
    <w:p w:rsidR="001912D7" w:rsidRDefault="001912D7" w:rsidP="00D127FB">
      <w:pPr>
        <w:ind w:firstLine="0"/>
      </w:pPr>
      <w:r>
        <w:t xml:space="preserve">We want to predict the price trend i.e. is today’s close price greater than or less than yesterday close price. </w:t>
      </w:r>
      <w:r w:rsidR="00321658">
        <w:t>We use the class variable</w:t>
      </w:r>
      <w:r w:rsidR="00D75CA1">
        <w:t>,</w:t>
      </w:r>
      <w:r w:rsidR="00321658">
        <w:t xml:space="preserve"> trend to capture this.</w:t>
      </w:r>
    </w:p>
    <w:p w:rsidR="00321658" w:rsidRDefault="00321658" w:rsidP="00D127FB">
      <w:pPr>
        <w:ind w:firstLine="0"/>
      </w:pPr>
    </w:p>
    <w:tbl>
      <w:tblPr>
        <w:tblStyle w:val="TableGrid"/>
        <w:tblW w:w="0" w:type="auto"/>
        <w:tblInd w:w="250" w:type="dxa"/>
        <w:tblLook w:val="04A0" w:firstRow="1" w:lastRow="0" w:firstColumn="1" w:lastColumn="0" w:noHBand="0" w:noVBand="1"/>
      </w:tblPr>
      <w:tblGrid>
        <w:gridCol w:w="1384"/>
        <w:gridCol w:w="4989"/>
      </w:tblGrid>
      <w:tr w:rsidR="00321658" w:rsidTr="00A6567D">
        <w:tc>
          <w:tcPr>
            <w:tcW w:w="1418" w:type="dxa"/>
          </w:tcPr>
          <w:p w:rsidR="00321658" w:rsidRPr="001912D7" w:rsidRDefault="00321658" w:rsidP="00A6567D">
            <w:pPr>
              <w:ind w:firstLine="0"/>
              <w:rPr>
                <w:b/>
              </w:rPr>
            </w:pPr>
            <w:r>
              <w:rPr>
                <w:b/>
              </w:rPr>
              <w:t>trend</w:t>
            </w:r>
          </w:p>
        </w:tc>
        <w:tc>
          <w:tcPr>
            <w:tcW w:w="5181" w:type="dxa"/>
          </w:tcPr>
          <w:p w:rsidR="00321658" w:rsidRDefault="00321658" w:rsidP="00A6567D">
            <w:pPr>
              <w:ind w:firstLine="0"/>
            </w:pPr>
            <w:r>
              <w:t>1 = close &gt; yesterdays close, 0 = close &lt; yesterdays close</w:t>
            </w:r>
          </w:p>
        </w:tc>
      </w:tr>
    </w:tbl>
    <w:p w:rsidR="000777D3" w:rsidRDefault="000777D3" w:rsidP="00BF32F7">
      <w:pPr>
        <w:ind w:firstLine="0"/>
      </w:pPr>
    </w:p>
    <w:p w:rsidR="00BF32F7" w:rsidRDefault="006C4081" w:rsidP="00BF32F7">
      <w:pPr>
        <w:ind w:firstLine="0"/>
      </w:pPr>
      <w:r>
        <w:t>In total</w:t>
      </w:r>
      <w:r w:rsidR="00BB378D">
        <w:t xml:space="preserve"> </w:t>
      </w:r>
      <w:r>
        <w:t>there are 1</w:t>
      </w:r>
      <w:r w:rsidR="00B60E39">
        <w:t>5</w:t>
      </w:r>
      <w:r>
        <w:t xml:space="preserve"> features. </w:t>
      </w:r>
      <w:r w:rsidR="00BF32F7">
        <w:t>The data set covers the period 7/5/2011 to 13/04/2017</w:t>
      </w:r>
      <w:r w:rsidR="00403EC8">
        <w:t xml:space="preserve">, </w:t>
      </w:r>
      <w:r w:rsidR="001328DD">
        <w:t xml:space="preserve">which is </w:t>
      </w:r>
      <w:r w:rsidR="00403EC8">
        <w:t>2031 trading days.</w:t>
      </w:r>
    </w:p>
    <w:p w:rsidR="00320C84" w:rsidRDefault="00320C84" w:rsidP="00320C84">
      <w:pPr>
        <w:pStyle w:val="heading10"/>
        <w:rPr>
          <w:szCs w:val="24"/>
        </w:rPr>
      </w:pPr>
      <w:r w:rsidRPr="007134C2">
        <w:rPr>
          <w:szCs w:val="24"/>
        </w:rPr>
        <w:t>4</w:t>
      </w:r>
      <w:r w:rsidR="00375E67" w:rsidRPr="007134C2">
        <w:rPr>
          <w:szCs w:val="24"/>
        </w:rPr>
        <w:t>.</w:t>
      </w:r>
      <w:r w:rsidRPr="007134C2">
        <w:rPr>
          <w:szCs w:val="24"/>
        </w:rPr>
        <w:t xml:space="preserve"> </w:t>
      </w:r>
      <w:r w:rsidR="00E92617" w:rsidRPr="007134C2">
        <w:rPr>
          <w:szCs w:val="24"/>
        </w:rPr>
        <w:t>Empirical Evaluation</w:t>
      </w:r>
      <w:r w:rsidRPr="007134C2">
        <w:rPr>
          <w:szCs w:val="24"/>
        </w:rPr>
        <w:t xml:space="preserve"> </w:t>
      </w:r>
    </w:p>
    <w:p w:rsidR="00B9257D" w:rsidRDefault="004C44CA" w:rsidP="00B9257D">
      <w:pPr>
        <w:pStyle w:val="p1a"/>
        <w:rPr>
          <w:rFonts w:ascii="Times New Roman" w:hAnsi="Times New Roman"/>
        </w:rPr>
      </w:pPr>
      <w:r>
        <w:t>The Scikit L</w:t>
      </w:r>
      <w:r w:rsidR="00B9257D">
        <w:t xml:space="preserve">earn Python library was used to evaluate our models. </w:t>
      </w:r>
      <w:r>
        <w:t>Scikit L</w:t>
      </w:r>
      <w:r w:rsidR="00B9257D">
        <w:t>earn provides a wide range of machine learning models for</w:t>
      </w:r>
      <w:r w:rsidR="00B0527B">
        <w:t xml:space="preserve"> both </w:t>
      </w:r>
      <w:r w:rsidR="00B9257D">
        <w:t xml:space="preserve">classification and regression. </w:t>
      </w:r>
      <w:r w:rsidR="00B9257D">
        <w:rPr>
          <w:rFonts w:ascii="Times New Roman" w:hAnsi="Times New Roman"/>
        </w:rPr>
        <w:t xml:space="preserve">The Python library TA-Lib </w:t>
      </w:r>
      <w:r w:rsidR="00B9257D">
        <w:rPr>
          <w:rFonts w:ascii="Times New Roman" w:hAnsi="Times New Roman"/>
        </w:rPr>
        <w:fldChar w:fldCharType="begin" w:fldLock="1"/>
      </w:r>
      <w:r w:rsidR="00B9257D">
        <w:rPr>
          <w:rFonts w:ascii="Times New Roman" w:hAnsi="Times New Roman"/>
        </w:rPr>
        <w:instrText>ADDIN CSL_CITATION { "citationItems" : [ { "id" : "ITEM-1", "itemData" : { "URL" : "https://mrjbq7.github.io/ta-lib/index.html", "accessed" : { "date-parts" : [ [ "2017", "4", "2" ] ] }, "author" : [ { "dropping-particle" : "", "family" : "Benediktsson", "given" : "John et al.", "non-dropping-particle" : "", "parse-names" : false, "suffix" : "" } ], "id" : "ITEM-1", "issued" : { "date-parts" : [ [ "0" ] ] }, "title" : "TA-Lib", "type" : "webpage" }, "uris" : [ "http://www.mendeley.com/documents/?uuid=64b70827-c4e7-3c52-8dda-9e2122102175" ] } ], "mendeley" : { "formattedCitation" : "[11]", "plainTextFormattedCitation" : "[11]" }, "properties" : { "noteIndex" : 0 }, "schema" : "https://github.com/citation-style-language/schema/raw/master/csl-citation.json" }</w:instrText>
      </w:r>
      <w:r w:rsidR="00B9257D">
        <w:rPr>
          <w:rFonts w:ascii="Times New Roman" w:hAnsi="Times New Roman"/>
        </w:rPr>
        <w:fldChar w:fldCharType="separate"/>
      </w:r>
      <w:r w:rsidR="00B9257D" w:rsidRPr="00B9257D">
        <w:rPr>
          <w:rFonts w:ascii="Times New Roman" w:hAnsi="Times New Roman"/>
          <w:noProof/>
        </w:rPr>
        <w:t>[11]</w:t>
      </w:r>
      <w:r w:rsidR="00B9257D">
        <w:rPr>
          <w:rFonts w:ascii="Times New Roman" w:hAnsi="Times New Roman"/>
        </w:rPr>
        <w:fldChar w:fldCharType="end"/>
      </w:r>
      <w:r w:rsidR="00B9257D">
        <w:rPr>
          <w:rFonts w:ascii="Times New Roman" w:hAnsi="Times New Roman"/>
        </w:rPr>
        <w:t xml:space="preserve"> was used to create the technical analysis indicators used as input features to the models.</w:t>
      </w:r>
    </w:p>
    <w:p w:rsidR="00207E96" w:rsidRDefault="00207E96" w:rsidP="00207E96">
      <w:pPr>
        <w:ind w:firstLine="0"/>
      </w:pPr>
    </w:p>
    <w:p w:rsidR="00207E96" w:rsidRPr="00207E96" w:rsidRDefault="00207E96" w:rsidP="00207E96">
      <w:pPr>
        <w:ind w:firstLine="0"/>
      </w:pPr>
      <w:r>
        <w:t xml:space="preserve">Our task is to predict if the DAX closing price for </w:t>
      </w:r>
      <w:r w:rsidR="00A91319">
        <w:t xml:space="preserve">one to ten days into the future </w:t>
      </w:r>
      <w:r>
        <w:t>is greater than or less</w:t>
      </w:r>
      <w:r w:rsidR="00A91319">
        <w:t xml:space="preserve"> than the close price for today using the data set and models discussed above.</w:t>
      </w:r>
    </w:p>
    <w:p w:rsidR="00B9257D" w:rsidRDefault="00B9257D" w:rsidP="00B9257D"/>
    <w:p w:rsidR="00B9257D" w:rsidRPr="00B9257D" w:rsidRDefault="00B9257D" w:rsidP="00B9257D"/>
    <w:p w:rsidR="00B60E39" w:rsidRPr="00D75CA1" w:rsidRDefault="000777D3" w:rsidP="00D75CA1">
      <w:pPr>
        <w:pStyle w:val="p1a"/>
        <w:rPr>
          <w:b/>
          <w:i/>
          <w:sz w:val="24"/>
          <w:szCs w:val="24"/>
        </w:rPr>
      </w:pPr>
      <w:r>
        <w:rPr>
          <w:b/>
          <w:i/>
          <w:sz w:val="24"/>
          <w:szCs w:val="24"/>
        </w:rPr>
        <w:lastRenderedPageBreak/>
        <w:t>4.1 Experimental Procedure</w:t>
      </w:r>
    </w:p>
    <w:p w:rsidR="00FE3736" w:rsidRDefault="007D7E71" w:rsidP="000777D3">
      <w:pPr>
        <w:ind w:firstLine="0"/>
      </w:pPr>
      <w:r>
        <w:t xml:space="preserve">There are orders of magnitude differences in the ranges of our features e.g. dirn = [0,1] versus close = [5000,12,300]. All models and algorithms </w:t>
      </w:r>
      <w:r w:rsidR="00EF447C">
        <w:t xml:space="preserve">used </w:t>
      </w:r>
      <w:r>
        <w:t xml:space="preserve">are sensitive to varying feature ranges so all input features are first rescaled into the range [0,1].  </w:t>
      </w:r>
    </w:p>
    <w:p w:rsidR="00E02EDA" w:rsidRDefault="00E02EDA" w:rsidP="000777D3">
      <w:pPr>
        <w:ind w:firstLine="0"/>
      </w:pPr>
    </w:p>
    <w:p w:rsidR="00A6567D" w:rsidRDefault="007463AE" w:rsidP="00A6567D">
      <w:pPr>
        <w:ind w:firstLine="0"/>
      </w:pPr>
      <w:r>
        <w:t xml:space="preserve">Looking at boxplots for the </w:t>
      </w:r>
      <w:r w:rsidR="00A30C78">
        <w:t xml:space="preserve">all </w:t>
      </w:r>
      <w:r>
        <w:t xml:space="preserve">price data </w:t>
      </w:r>
      <w:r w:rsidR="00A6567D">
        <w:t>reveals</w:t>
      </w:r>
      <w:r>
        <w:t xml:space="preserve"> </w:t>
      </w:r>
      <w:r w:rsidR="00EF447C">
        <w:t xml:space="preserve">no outliers, e.g. below </w:t>
      </w:r>
      <w:r w:rsidR="00A30C78">
        <w:t>is the plot</w:t>
      </w:r>
      <w:r w:rsidR="00EF447C">
        <w:t xml:space="preserve"> for </w:t>
      </w:r>
      <w:r w:rsidR="00A30C78">
        <w:t xml:space="preserve">the </w:t>
      </w:r>
      <w:r w:rsidR="00EF447C">
        <w:t xml:space="preserve">Dax </w:t>
      </w:r>
      <w:r w:rsidR="00A30C78">
        <w:t>daily close price</w:t>
      </w:r>
      <w:r w:rsidR="00EF447C">
        <w:t xml:space="preserve"> from 2011 to 2016. </w:t>
      </w:r>
      <w:r w:rsidR="00A6567D">
        <w:t>We note there are also no missing values in the price data.</w:t>
      </w:r>
    </w:p>
    <w:p w:rsidR="00FB0E03" w:rsidRDefault="00FB0E03" w:rsidP="000777D3">
      <w:pPr>
        <w:ind w:firstLine="0"/>
      </w:pPr>
    </w:p>
    <w:p w:rsidR="00FB0E03" w:rsidRPr="00FB0E03" w:rsidRDefault="00FB0E03" w:rsidP="00CB1C96">
      <w:pPr>
        <w:pStyle w:val="Caption"/>
        <w:keepNext/>
        <w:jc w:val="left"/>
        <w:rPr>
          <w:b w:val="0"/>
          <w:sz w:val="17"/>
          <w:szCs w:val="17"/>
        </w:rPr>
      </w:pPr>
      <w:r w:rsidRPr="00FB0E03">
        <w:rPr>
          <w:b w:val="0"/>
          <w:sz w:val="17"/>
          <w:szCs w:val="17"/>
        </w:rPr>
        <w:t xml:space="preserve">Table </w:t>
      </w:r>
      <w:r w:rsidRPr="00FB0E03">
        <w:rPr>
          <w:b w:val="0"/>
          <w:sz w:val="17"/>
          <w:szCs w:val="17"/>
        </w:rPr>
        <w:fldChar w:fldCharType="begin"/>
      </w:r>
      <w:r w:rsidRPr="00FB0E03">
        <w:rPr>
          <w:b w:val="0"/>
          <w:sz w:val="17"/>
          <w:szCs w:val="17"/>
        </w:rPr>
        <w:instrText xml:space="preserve"> SEQ Table \* ARABIC </w:instrText>
      </w:r>
      <w:r w:rsidRPr="00FB0E03">
        <w:rPr>
          <w:b w:val="0"/>
          <w:sz w:val="17"/>
          <w:szCs w:val="17"/>
        </w:rPr>
        <w:fldChar w:fldCharType="separate"/>
      </w:r>
      <w:r w:rsidRPr="00FB0E03">
        <w:rPr>
          <w:b w:val="0"/>
          <w:noProof/>
          <w:sz w:val="17"/>
          <w:szCs w:val="17"/>
        </w:rPr>
        <w:t>1</w:t>
      </w:r>
      <w:r w:rsidRPr="00FB0E03">
        <w:rPr>
          <w:b w:val="0"/>
          <w:sz w:val="17"/>
          <w:szCs w:val="17"/>
        </w:rPr>
        <w:fldChar w:fldCharType="end"/>
      </w:r>
      <w:r>
        <w:rPr>
          <w:b w:val="0"/>
          <w:sz w:val="17"/>
          <w:szCs w:val="17"/>
        </w:rPr>
        <w:t>.  Boxplot for Daily Close Dax prices (2011 – 2016)</w:t>
      </w:r>
    </w:p>
    <w:tbl>
      <w:tblPr>
        <w:tblStyle w:val="TableGrid"/>
        <w:tblW w:w="591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4"/>
      </w:tblGrid>
      <w:tr w:rsidR="00A30C78" w:rsidTr="00A30C78">
        <w:trPr>
          <w:trHeight w:val="3329"/>
        </w:trPr>
        <w:tc>
          <w:tcPr>
            <w:tcW w:w="5910" w:type="dxa"/>
          </w:tcPr>
          <w:p w:rsidR="00CB1C96" w:rsidRDefault="00CB1C96" w:rsidP="000777D3">
            <w:pPr>
              <w:ind w:left="-393" w:firstLine="0"/>
            </w:pPr>
            <w:r>
              <w:rPr>
                <w:noProof/>
                <w:lang w:eastAsia="en-IE"/>
              </w:rPr>
              <w:drawing>
                <wp:inline distT="0" distB="0" distL="0" distR="0" wp14:anchorId="70179003" wp14:editId="52FCC610">
                  <wp:extent cx="3905056" cy="22479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se-b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2637" cy="2258020"/>
                          </a:xfrm>
                          <a:prstGeom prst="rect">
                            <a:avLst/>
                          </a:prstGeom>
                        </pic:spPr>
                      </pic:pic>
                    </a:graphicData>
                  </a:graphic>
                </wp:inline>
              </w:drawing>
            </w:r>
          </w:p>
        </w:tc>
      </w:tr>
    </w:tbl>
    <w:p w:rsidR="007463AE" w:rsidRDefault="007463AE" w:rsidP="000777D3">
      <w:pPr>
        <w:ind w:firstLine="0"/>
      </w:pPr>
    </w:p>
    <w:p w:rsidR="006364C9" w:rsidRDefault="006364C9" w:rsidP="006364C9">
      <w:pPr>
        <w:pStyle w:val="My-Normal"/>
        <w:spacing w:line="240" w:lineRule="auto"/>
        <w:rPr>
          <w:sz w:val="17"/>
          <w:szCs w:val="17"/>
        </w:rPr>
      </w:pPr>
      <w:r w:rsidRPr="006364C9">
        <w:rPr>
          <w:sz w:val="20"/>
          <w:szCs w:val="20"/>
        </w:rPr>
        <w:t>Cross fold validation is the main method used model parameter tuning and testing. N-fold cross validation will split the data set into N-folds, N-1 folds being used for training and the N</w:t>
      </w:r>
      <w:r w:rsidRPr="006364C9">
        <w:rPr>
          <w:sz w:val="20"/>
          <w:szCs w:val="20"/>
          <w:vertAlign w:val="superscript"/>
        </w:rPr>
        <w:t xml:space="preserve">th </w:t>
      </w:r>
      <w:r w:rsidRPr="006364C9">
        <w:rPr>
          <w:sz w:val="20"/>
          <w:szCs w:val="20"/>
        </w:rPr>
        <w:t xml:space="preserve">used for testing. Each fold will be used in turn as the test fold e.g. fold 5 might be used as test, with folds [1-4,6-10] used as training for a 10-fold test. This method can’t be applied to our data set as the price data is time order dependent. We can’t train on future prices and then test on past data. Therefore, we use a walk forward style of train/testing. This involves training for </w:t>
      </w:r>
      <w:r w:rsidR="00A6567D">
        <w:rPr>
          <w:sz w:val="20"/>
          <w:szCs w:val="20"/>
        </w:rPr>
        <w:t xml:space="preserve">a </w:t>
      </w:r>
      <w:r w:rsidRPr="006364C9">
        <w:rPr>
          <w:sz w:val="20"/>
          <w:szCs w:val="20"/>
        </w:rPr>
        <w:t>specified number of days, predicting for the next</w:t>
      </w:r>
      <w:r w:rsidRPr="006364C9">
        <w:rPr>
          <w:sz w:val="20"/>
          <w:szCs w:val="20"/>
          <w:vertAlign w:val="superscript"/>
        </w:rPr>
        <w:t xml:space="preserve"> </w:t>
      </w:r>
      <w:r w:rsidRPr="006364C9">
        <w:rPr>
          <w:sz w:val="20"/>
          <w:szCs w:val="20"/>
        </w:rPr>
        <w:t>day</w:t>
      </w:r>
      <w:r>
        <w:rPr>
          <w:sz w:val="20"/>
          <w:szCs w:val="20"/>
        </w:rPr>
        <w:t>(s)</w:t>
      </w:r>
      <w:r w:rsidRPr="006364C9">
        <w:rPr>
          <w:sz w:val="20"/>
          <w:szCs w:val="20"/>
        </w:rPr>
        <w:t xml:space="preserve"> after the last day of training and then moving the training window forward one day and repeating the train/test cycle</w:t>
      </w:r>
      <w:r w:rsidRPr="006364C9">
        <w:rPr>
          <w:sz w:val="17"/>
          <w:szCs w:val="17"/>
        </w:rPr>
        <w:t xml:space="preserve">. </w:t>
      </w:r>
    </w:p>
    <w:p w:rsidR="006364C9" w:rsidRDefault="009528E2" w:rsidP="00B9257D">
      <w:pPr>
        <w:pStyle w:val="My-Normal"/>
        <w:spacing w:line="240" w:lineRule="auto"/>
      </w:pPr>
      <w:r>
        <w:rPr>
          <w:sz w:val="20"/>
          <w:szCs w:val="20"/>
        </w:rPr>
        <w:t xml:space="preserve">To select the number of days to use for the training window we run the AdaBoost model with default parameters multiple times using training days </w:t>
      </w:r>
      <w:r w:rsidR="00430AAE">
        <w:rPr>
          <w:sz w:val="20"/>
          <w:szCs w:val="20"/>
        </w:rPr>
        <w:t xml:space="preserve">from the range [5,55]. </w:t>
      </w:r>
      <w:r w:rsidR="00EF088B">
        <w:rPr>
          <w:sz w:val="20"/>
          <w:szCs w:val="20"/>
        </w:rPr>
        <w:t xml:space="preserve"> We used data </w:t>
      </w:r>
      <w:r w:rsidR="00940060">
        <w:rPr>
          <w:sz w:val="20"/>
          <w:szCs w:val="20"/>
        </w:rPr>
        <w:t xml:space="preserve">from 2014 to 2015 for the test and looked at one day ahead prediction of close trend. </w:t>
      </w:r>
      <w:r w:rsidR="00EF088B">
        <w:rPr>
          <w:sz w:val="20"/>
          <w:szCs w:val="20"/>
        </w:rPr>
        <w:t xml:space="preserve">Figure 2. shows </w:t>
      </w:r>
      <w:r w:rsidR="00430AAE">
        <w:rPr>
          <w:sz w:val="20"/>
          <w:szCs w:val="20"/>
        </w:rPr>
        <w:t xml:space="preserve">there is a sharp drop-off in performance when using anything more than 5 days training. </w:t>
      </w:r>
      <w:r w:rsidR="00A6567D">
        <w:rPr>
          <w:sz w:val="20"/>
          <w:szCs w:val="20"/>
        </w:rPr>
        <w:t xml:space="preserve">This makes intuitive sense </w:t>
      </w:r>
      <w:r w:rsidR="00B9257D">
        <w:rPr>
          <w:sz w:val="20"/>
          <w:szCs w:val="20"/>
        </w:rPr>
        <w:t>the</w:t>
      </w:r>
      <w:r w:rsidR="00A6567D">
        <w:rPr>
          <w:sz w:val="20"/>
          <w:szCs w:val="20"/>
        </w:rPr>
        <w:t xml:space="preserve"> best predictor of price is the most recent price behaviour. </w:t>
      </w:r>
      <w:r w:rsidR="00430AAE">
        <w:rPr>
          <w:sz w:val="20"/>
          <w:szCs w:val="20"/>
        </w:rPr>
        <w:t>We select 3 days as the optimum training period.</w:t>
      </w:r>
    </w:p>
    <w:p w:rsidR="006364C9" w:rsidRDefault="00B9257D" w:rsidP="000777D3">
      <w:pPr>
        <w:ind w:firstLine="0"/>
      </w:pPr>
      <w:r>
        <w:lastRenderedPageBreak/>
        <w:t xml:space="preserve">Model parameter tuning methods </w:t>
      </w:r>
      <w:r w:rsidR="00B6395B">
        <w:t>provided</w:t>
      </w:r>
      <w:r>
        <w:t xml:space="preserve"> in</w:t>
      </w:r>
      <w:r w:rsidR="00147CF6">
        <w:t xml:space="preserve"> Scik</w:t>
      </w:r>
      <w:r>
        <w:t>it involves use of cross fold validation to validate each combination of parameters</w:t>
      </w:r>
      <w:r w:rsidR="00B6395B">
        <w:t xml:space="preserve"> tested</w:t>
      </w:r>
      <w:r>
        <w:t xml:space="preserve">. </w:t>
      </w:r>
      <w:r w:rsidR="00B6395B">
        <w:t xml:space="preserve">As this is not an option for this </w:t>
      </w:r>
      <w:r w:rsidR="008A0DE5">
        <w:t xml:space="preserve">time series </w:t>
      </w:r>
      <w:r w:rsidR="00B6395B">
        <w:t xml:space="preserve">data set a basic trial and error approach was used to examine the parameters of the </w:t>
      </w:r>
      <w:proofErr w:type="spellStart"/>
      <w:r w:rsidR="00B6395B">
        <w:t>AdaBoost</w:t>
      </w:r>
      <w:proofErr w:type="spellEnd"/>
      <w:r w:rsidR="00B6395B">
        <w:t xml:space="preserve"> model.</w:t>
      </w:r>
    </w:p>
    <w:p w:rsidR="007D7E71" w:rsidRDefault="007463AE" w:rsidP="000777D3">
      <w:pPr>
        <w:ind w:firstLine="0"/>
      </w:pPr>
      <w:r>
        <w:rPr>
          <w:b/>
          <w:i/>
          <w:noProof/>
          <w:sz w:val="24"/>
          <w:szCs w:val="24"/>
          <w:lang w:eastAsia="en-IE"/>
        </w:rPr>
        <w:drawing>
          <wp:inline distT="0" distB="0" distL="0" distR="0">
            <wp:extent cx="4272147" cy="2673350"/>
            <wp:effectExtent l="0" t="0" r="0" b="0"/>
            <wp:docPr id="59" name="Picture 59" descr="C:\Users\komah\OneDrive\Documents\0-HDip\Semester-2\Machine-Learning\Assignment-2\trainingV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komah\OneDrive\Documents\0-HDip\Semester-2\Machine-Learning\Assignment-2\trainingVPredi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025" cy="2677654"/>
                    </a:xfrm>
                    <a:prstGeom prst="rect">
                      <a:avLst/>
                    </a:prstGeom>
                    <a:noFill/>
                    <a:ln>
                      <a:noFill/>
                    </a:ln>
                  </pic:spPr>
                </pic:pic>
              </a:graphicData>
            </a:graphic>
          </wp:inline>
        </w:drawing>
      </w:r>
    </w:p>
    <w:p w:rsidR="00DE4937" w:rsidRPr="007D7E71" w:rsidRDefault="007D7E71" w:rsidP="007D7E71">
      <w:pPr>
        <w:ind w:firstLine="0"/>
        <w:jc w:val="right"/>
      </w:pPr>
      <w:r w:rsidRPr="007D7E71">
        <w:rPr>
          <w:sz w:val="17"/>
          <w:szCs w:val="17"/>
        </w:rPr>
        <w:t xml:space="preserve">Figure </w:t>
      </w:r>
      <w:r w:rsidRPr="007D7E71">
        <w:rPr>
          <w:sz w:val="17"/>
          <w:szCs w:val="17"/>
        </w:rPr>
        <w:fldChar w:fldCharType="begin"/>
      </w:r>
      <w:r w:rsidRPr="007D7E71">
        <w:rPr>
          <w:sz w:val="17"/>
          <w:szCs w:val="17"/>
        </w:rPr>
        <w:instrText xml:space="preserve"> SEQ Table \* ARABIC </w:instrText>
      </w:r>
      <w:r w:rsidRPr="007D7E71">
        <w:rPr>
          <w:sz w:val="17"/>
          <w:szCs w:val="17"/>
        </w:rPr>
        <w:fldChar w:fldCharType="separate"/>
      </w:r>
      <w:r w:rsidR="00FB0E03">
        <w:rPr>
          <w:noProof/>
          <w:sz w:val="17"/>
          <w:szCs w:val="17"/>
        </w:rPr>
        <w:t>2</w:t>
      </w:r>
      <w:r w:rsidRPr="007D7E71">
        <w:rPr>
          <w:sz w:val="17"/>
          <w:szCs w:val="17"/>
        </w:rPr>
        <w:fldChar w:fldCharType="end"/>
      </w:r>
      <w:r w:rsidRPr="007D7E71">
        <w:rPr>
          <w:sz w:val="17"/>
          <w:szCs w:val="17"/>
        </w:rPr>
        <w:t xml:space="preserve">. </w:t>
      </w:r>
      <w:r w:rsidR="00EF088B">
        <w:rPr>
          <w:sz w:val="17"/>
          <w:szCs w:val="17"/>
        </w:rPr>
        <w:t xml:space="preserve">Training Days versus </w:t>
      </w:r>
      <w:r w:rsidR="00B0527B">
        <w:rPr>
          <w:sz w:val="17"/>
          <w:szCs w:val="17"/>
        </w:rPr>
        <w:t xml:space="preserve">one day ahead </w:t>
      </w:r>
      <w:r w:rsidR="00EF088B">
        <w:rPr>
          <w:sz w:val="17"/>
          <w:szCs w:val="17"/>
        </w:rPr>
        <w:t>predictio</w:t>
      </w:r>
      <w:r w:rsidR="00B0527B">
        <w:rPr>
          <w:sz w:val="17"/>
          <w:szCs w:val="17"/>
        </w:rPr>
        <w:t>n accuracy for AdaBoost model</w:t>
      </w:r>
    </w:p>
    <w:p w:rsidR="006364C9" w:rsidRDefault="006364C9" w:rsidP="000777D3">
      <w:pPr>
        <w:ind w:firstLine="0"/>
      </w:pPr>
    </w:p>
    <w:p w:rsidR="004E04B1" w:rsidRDefault="004E04B1" w:rsidP="000777D3">
      <w:pPr>
        <w:ind w:firstLine="0"/>
      </w:pPr>
      <w:r>
        <w:t xml:space="preserve">The </w:t>
      </w:r>
      <w:proofErr w:type="spellStart"/>
      <w:r>
        <w:t>AdaBoost</w:t>
      </w:r>
      <w:proofErr w:type="spellEnd"/>
      <w:r>
        <w:t xml:space="preserve"> model implemented in SciKit has two parameters of interest:</w:t>
      </w:r>
    </w:p>
    <w:p w:rsidR="004E04B1" w:rsidRDefault="004E04B1" w:rsidP="004E04B1">
      <w:pPr>
        <w:pStyle w:val="ListParagraph"/>
        <w:numPr>
          <w:ilvl w:val="0"/>
          <w:numId w:val="26"/>
        </w:numPr>
      </w:pPr>
      <w:r>
        <w:t>n_estimators: the maximum number decision</w:t>
      </w:r>
      <w:r w:rsidR="00AA079C">
        <w:t xml:space="preserve"> tree classifiers </w:t>
      </w:r>
      <w:r>
        <w:t>created before boosting is stopped (default = 50)</w:t>
      </w:r>
    </w:p>
    <w:p w:rsidR="004E04B1" w:rsidRDefault="004E04B1" w:rsidP="004E04B1">
      <w:pPr>
        <w:pStyle w:val="ListParagraph"/>
        <w:numPr>
          <w:ilvl w:val="0"/>
          <w:numId w:val="26"/>
        </w:numPr>
      </w:pPr>
      <w:proofErr w:type="spellStart"/>
      <w:r>
        <w:t>learning_rate</w:t>
      </w:r>
      <w:proofErr w:type="spellEnd"/>
      <w:r>
        <w:t>: reduces the contribution from each classifier by this factor when combining predictions (default = 1)</w:t>
      </w:r>
    </w:p>
    <w:p w:rsidR="004E04B1" w:rsidRDefault="004E04B1" w:rsidP="000777D3">
      <w:pPr>
        <w:ind w:firstLine="0"/>
      </w:pPr>
    </w:p>
    <w:p w:rsidR="00CC5595" w:rsidRDefault="00CC5595" w:rsidP="000777D3">
      <w:pPr>
        <w:ind w:firstLine="0"/>
      </w:pPr>
      <w:r>
        <w:t xml:space="preserve">Varying n_estimators over a range of [25,200] with default learning rate showed minimal changes in performance. A value of 25 gave the best prediction accuracy. </w:t>
      </w:r>
    </w:p>
    <w:p w:rsidR="00CC5595" w:rsidRDefault="00CC5595" w:rsidP="000777D3">
      <w:pPr>
        <w:ind w:firstLine="0"/>
      </w:pPr>
      <w:r>
        <w:t xml:space="preserve">Learning rate likewise showed slight impact on performance when varied from the default value. From </w:t>
      </w:r>
      <w:r w:rsidR="006D2647">
        <w:t xml:space="preserve">this </w:t>
      </w:r>
      <w:r w:rsidR="00D81D2F">
        <w:t>test,</w:t>
      </w:r>
      <w:r>
        <w:t xml:space="preserve"> we select n_estimators</w:t>
      </w:r>
      <w:r w:rsidR="006D2647">
        <w:t>=25 and</w:t>
      </w:r>
      <w:r>
        <w:t xml:space="preserve"> learning_rate</w:t>
      </w:r>
      <w:r w:rsidR="006D2647">
        <w:t>=1 for the AdaBoost model.</w:t>
      </w:r>
    </w:p>
    <w:p w:rsidR="00CC5595" w:rsidRDefault="00CC5595" w:rsidP="000777D3">
      <w:pPr>
        <w:ind w:firstLine="0"/>
      </w:pPr>
    </w:p>
    <w:p w:rsidR="00930348" w:rsidRDefault="00EA2E72" w:rsidP="000777D3">
      <w:pPr>
        <w:ind w:firstLine="0"/>
      </w:pPr>
      <w:r>
        <w:t xml:space="preserve">We looked at feature selection using a Random Forest model’s importance rating based on its out-of-bag test process. </w:t>
      </w:r>
      <w:r w:rsidR="00D75CA1">
        <w:t xml:space="preserve">We used data from 2010 to 2013. </w:t>
      </w:r>
      <w:r>
        <w:t xml:space="preserve">Figure 1. shows the results based on the </w:t>
      </w:r>
      <w:r w:rsidR="00EF447C">
        <w:t>feature numbering</w:t>
      </w:r>
      <w:r>
        <w:t xml:space="preserve">: </w:t>
      </w:r>
    </w:p>
    <w:p w:rsidR="00A30C78" w:rsidRDefault="00A30C78" w:rsidP="000777D3">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29"/>
        <w:gridCol w:w="1653"/>
        <w:gridCol w:w="1677"/>
      </w:tblGrid>
      <w:tr w:rsidR="00930348" w:rsidTr="00930348">
        <w:tc>
          <w:tcPr>
            <w:tcW w:w="1712" w:type="dxa"/>
          </w:tcPr>
          <w:p w:rsidR="00930348" w:rsidRDefault="00930348" w:rsidP="00930348">
            <w:pPr>
              <w:ind w:firstLine="0"/>
            </w:pPr>
            <w:r w:rsidRPr="00930348">
              <w:rPr>
                <w:rFonts w:ascii="Times New Roman" w:hAnsi="Times New Roman"/>
                <w:bCs/>
                <w:color w:val="000000"/>
              </w:rPr>
              <w:t>1 DayOfMonth</w:t>
            </w:r>
          </w:p>
        </w:tc>
        <w:tc>
          <w:tcPr>
            <w:tcW w:w="1712" w:type="dxa"/>
          </w:tcPr>
          <w:p w:rsidR="00930348" w:rsidRDefault="00930348" w:rsidP="00930348">
            <w:pPr>
              <w:ind w:firstLine="0"/>
            </w:pPr>
            <w:r w:rsidRPr="00930348">
              <w:rPr>
                <w:rFonts w:ascii="Times New Roman" w:hAnsi="Times New Roman"/>
                <w:bCs/>
                <w:color w:val="000000"/>
              </w:rPr>
              <w:t>5 high</w:t>
            </w:r>
          </w:p>
        </w:tc>
        <w:tc>
          <w:tcPr>
            <w:tcW w:w="1712" w:type="dxa"/>
          </w:tcPr>
          <w:p w:rsidR="00930348" w:rsidRDefault="00930348" w:rsidP="00930348">
            <w:pPr>
              <w:ind w:firstLine="0"/>
            </w:pPr>
            <w:r w:rsidRPr="00930348">
              <w:rPr>
                <w:rFonts w:ascii="Times New Roman" w:hAnsi="Times New Roman"/>
                <w:bCs/>
                <w:color w:val="000000"/>
              </w:rPr>
              <w:t xml:space="preserve">9 </w:t>
            </w:r>
            <w:r>
              <w:rPr>
                <w:rFonts w:ascii="Times New Roman" w:hAnsi="Times New Roman"/>
                <w:bCs/>
                <w:color w:val="000000"/>
              </w:rPr>
              <w:t>dirn</w:t>
            </w:r>
          </w:p>
        </w:tc>
        <w:tc>
          <w:tcPr>
            <w:tcW w:w="1713" w:type="dxa"/>
          </w:tcPr>
          <w:p w:rsidR="00930348" w:rsidRDefault="00930348" w:rsidP="00930348">
            <w:pPr>
              <w:ind w:firstLine="0"/>
            </w:pPr>
            <w:r w:rsidRPr="00930348">
              <w:rPr>
                <w:rFonts w:ascii="Times New Roman" w:hAnsi="Times New Roman"/>
                <w:bCs/>
                <w:color w:val="000000"/>
              </w:rPr>
              <w:t xml:space="preserve">13 </w:t>
            </w:r>
            <w:r>
              <w:rPr>
                <w:rFonts w:ascii="Times New Roman" w:hAnsi="Times New Roman"/>
                <w:bCs/>
                <w:color w:val="000000"/>
              </w:rPr>
              <w:t>ma3_trend</w:t>
            </w:r>
          </w:p>
        </w:tc>
      </w:tr>
      <w:tr w:rsidR="00930348" w:rsidTr="00930348">
        <w:tc>
          <w:tcPr>
            <w:tcW w:w="1712" w:type="dxa"/>
          </w:tcPr>
          <w:p w:rsidR="00930348" w:rsidRDefault="00930348" w:rsidP="00930348">
            <w:pPr>
              <w:ind w:firstLine="0"/>
            </w:pPr>
            <w:r w:rsidRPr="00930348">
              <w:rPr>
                <w:rFonts w:ascii="Times New Roman" w:hAnsi="Times New Roman"/>
                <w:bCs/>
                <w:color w:val="000000"/>
              </w:rPr>
              <w:t>2 DayOfWeek</w:t>
            </w:r>
          </w:p>
        </w:tc>
        <w:tc>
          <w:tcPr>
            <w:tcW w:w="1712" w:type="dxa"/>
          </w:tcPr>
          <w:p w:rsidR="00930348" w:rsidRDefault="00930348" w:rsidP="00930348">
            <w:pPr>
              <w:ind w:firstLine="0"/>
            </w:pPr>
            <w:r w:rsidRPr="00930348">
              <w:rPr>
                <w:rFonts w:ascii="Times New Roman" w:hAnsi="Times New Roman"/>
                <w:bCs/>
                <w:color w:val="000000"/>
              </w:rPr>
              <w:t xml:space="preserve">6 </w:t>
            </w:r>
            <w:r>
              <w:rPr>
                <w:rFonts w:ascii="Times New Roman" w:hAnsi="Times New Roman"/>
                <w:bCs/>
                <w:color w:val="000000"/>
              </w:rPr>
              <w:t>l</w:t>
            </w:r>
            <w:r w:rsidRPr="00930348">
              <w:rPr>
                <w:rFonts w:ascii="Times New Roman" w:hAnsi="Times New Roman"/>
                <w:bCs/>
                <w:color w:val="000000"/>
              </w:rPr>
              <w:t>o</w:t>
            </w:r>
            <w:r>
              <w:rPr>
                <w:rFonts w:ascii="Times New Roman" w:hAnsi="Times New Roman"/>
                <w:bCs/>
                <w:color w:val="000000"/>
              </w:rPr>
              <w:t>w</w:t>
            </w:r>
          </w:p>
        </w:tc>
        <w:tc>
          <w:tcPr>
            <w:tcW w:w="1712" w:type="dxa"/>
          </w:tcPr>
          <w:p w:rsidR="00930348" w:rsidRDefault="00930348" w:rsidP="00930348">
            <w:pPr>
              <w:ind w:firstLine="0"/>
            </w:pPr>
            <w:r w:rsidRPr="00930348">
              <w:rPr>
                <w:rFonts w:ascii="Times New Roman" w:hAnsi="Times New Roman"/>
                <w:bCs/>
                <w:color w:val="000000"/>
              </w:rPr>
              <w:t xml:space="preserve">10 </w:t>
            </w:r>
            <w:r>
              <w:rPr>
                <w:rFonts w:ascii="Times New Roman" w:hAnsi="Times New Roman"/>
                <w:bCs/>
                <w:color w:val="000000"/>
              </w:rPr>
              <w:t>ma0_trend</w:t>
            </w:r>
          </w:p>
        </w:tc>
        <w:tc>
          <w:tcPr>
            <w:tcW w:w="1713" w:type="dxa"/>
          </w:tcPr>
          <w:p w:rsidR="00930348" w:rsidRDefault="00930348" w:rsidP="00930348">
            <w:pPr>
              <w:ind w:firstLine="0"/>
            </w:pPr>
            <w:r w:rsidRPr="00930348">
              <w:rPr>
                <w:rFonts w:ascii="Times New Roman" w:hAnsi="Times New Roman"/>
                <w:bCs/>
                <w:color w:val="000000"/>
              </w:rPr>
              <w:t xml:space="preserve">14 </w:t>
            </w:r>
            <w:r>
              <w:rPr>
                <w:rFonts w:ascii="Times New Roman" w:hAnsi="Times New Roman"/>
                <w:bCs/>
                <w:color w:val="000000"/>
              </w:rPr>
              <w:t>close_at_high</w:t>
            </w:r>
          </w:p>
        </w:tc>
      </w:tr>
      <w:tr w:rsidR="00930348" w:rsidTr="00930348">
        <w:tc>
          <w:tcPr>
            <w:tcW w:w="1712" w:type="dxa"/>
          </w:tcPr>
          <w:p w:rsidR="00930348" w:rsidRDefault="00930348" w:rsidP="00930348">
            <w:pPr>
              <w:ind w:firstLine="0"/>
            </w:pPr>
            <w:r w:rsidRPr="00930348">
              <w:rPr>
                <w:rFonts w:ascii="Times New Roman" w:hAnsi="Times New Roman"/>
                <w:bCs/>
                <w:color w:val="000000"/>
              </w:rPr>
              <w:t>3 WeekOfYear</w:t>
            </w:r>
          </w:p>
        </w:tc>
        <w:tc>
          <w:tcPr>
            <w:tcW w:w="1712" w:type="dxa"/>
          </w:tcPr>
          <w:p w:rsidR="00930348" w:rsidRDefault="00930348" w:rsidP="00930348">
            <w:pPr>
              <w:ind w:firstLine="0"/>
            </w:pPr>
            <w:r w:rsidRPr="00930348">
              <w:rPr>
                <w:rFonts w:ascii="Times New Roman" w:hAnsi="Times New Roman"/>
                <w:bCs/>
                <w:color w:val="000000"/>
              </w:rPr>
              <w:t>7 close</w:t>
            </w:r>
          </w:p>
        </w:tc>
        <w:tc>
          <w:tcPr>
            <w:tcW w:w="1712" w:type="dxa"/>
          </w:tcPr>
          <w:p w:rsidR="00930348" w:rsidRDefault="00930348" w:rsidP="00930348">
            <w:pPr>
              <w:ind w:firstLine="0"/>
            </w:pPr>
            <w:r w:rsidRPr="00930348">
              <w:rPr>
                <w:rFonts w:ascii="Times New Roman" w:hAnsi="Times New Roman"/>
                <w:bCs/>
                <w:color w:val="000000"/>
              </w:rPr>
              <w:t xml:space="preserve">11 </w:t>
            </w:r>
            <w:r>
              <w:rPr>
                <w:rFonts w:ascii="Times New Roman" w:hAnsi="Times New Roman"/>
                <w:bCs/>
                <w:color w:val="000000"/>
              </w:rPr>
              <w:t>ma1_trend</w:t>
            </w:r>
          </w:p>
        </w:tc>
        <w:tc>
          <w:tcPr>
            <w:tcW w:w="1713" w:type="dxa"/>
          </w:tcPr>
          <w:p w:rsidR="00930348" w:rsidRDefault="00930348" w:rsidP="00930348">
            <w:pPr>
              <w:ind w:firstLine="0"/>
            </w:pPr>
            <w:r w:rsidRPr="00930348">
              <w:rPr>
                <w:rFonts w:ascii="Times New Roman" w:hAnsi="Times New Roman"/>
                <w:bCs/>
                <w:color w:val="000000"/>
              </w:rPr>
              <w:t xml:space="preserve">15 </w:t>
            </w:r>
            <w:r>
              <w:rPr>
                <w:rFonts w:ascii="Times New Roman" w:hAnsi="Times New Roman"/>
                <w:bCs/>
                <w:color w:val="000000"/>
              </w:rPr>
              <w:t>c</w:t>
            </w:r>
            <w:r w:rsidRPr="00930348">
              <w:rPr>
                <w:rFonts w:ascii="Times New Roman" w:hAnsi="Times New Roman"/>
                <w:bCs/>
                <w:color w:val="000000"/>
              </w:rPr>
              <w:t>lose_at_low</w:t>
            </w:r>
          </w:p>
        </w:tc>
      </w:tr>
      <w:tr w:rsidR="00930348" w:rsidTr="00930348">
        <w:tc>
          <w:tcPr>
            <w:tcW w:w="1712" w:type="dxa"/>
          </w:tcPr>
          <w:p w:rsidR="00930348" w:rsidRDefault="00930348" w:rsidP="00930348">
            <w:pPr>
              <w:ind w:firstLine="0"/>
            </w:pPr>
            <w:r w:rsidRPr="00930348">
              <w:rPr>
                <w:rFonts w:ascii="Times New Roman" w:hAnsi="Times New Roman"/>
                <w:bCs/>
                <w:color w:val="000000"/>
              </w:rPr>
              <w:t>4 open</w:t>
            </w:r>
          </w:p>
        </w:tc>
        <w:tc>
          <w:tcPr>
            <w:tcW w:w="1712" w:type="dxa"/>
          </w:tcPr>
          <w:p w:rsidR="00930348" w:rsidRDefault="00930348" w:rsidP="00930348">
            <w:pPr>
              <w:ind w:firstLine="0"/>
            </w:pPr>
            <w:r w:rsidRPr="00930348">
              <w:rPr>
                <w:rFonts w:ascii="Times New Roman" w:hAnsi="Times New Roman"/>
                <w:bCs/>
                <w:color w:val="000000"/>
              </w:rPr>
              <w:t xml:space="preserve">8 </w:t>
            </w:r>
            <w:r>
              <w:rPr>
                <w:rFonts w:ascii="Times New Roman" w:hAnsi="Times New Roman"/>
                <w:bCs/>
                <w:color w:val="000000"/>
              </w:rPr>
              <w:t>volume</w:t>
            </w:r>
          </w:p>
        </w:tc>
        <w:tc>
          <w:tcPr>
            <w:tcW w:w="1712" w:type="dxa"/>
          </w:tcPr>
          <w:p w:rsidR="00930348" w:rsidRDefault="00930348" w:rsidP="00930348">
            <w:pPr>
              <w:ind w:firstLine="0"/>
            </w:pPr>
            <w:r w:rsidRPr="00930348">
              <w:rPr>
                <w:rFonts w:ascii="Times New Roman" w:hAnsi="Times New Roman"/>
                <w:bCs/>
                <w:color w:val="000000"/>
              </w:rPr>
              <w:t xml:space="preserve">12 </w:t>
            </w:r>
            <w:r>
              <w:rPr>
                <w:rFonts w:ascii="Times New Roman" w:hAnsi="Times New Roman"/>
                <w:bCs/>
                <w:color w:val="000000"/>
              </w:rPr>
              <w:t>ma2_trend</w:t>
            </w:r>
          </w:p>
        </w:tc>
        <w:tc>
          <w:tcPr>
            <w:tcW w:w="1713" w:type="dxa"/>
          </w:tcPr>
          <w:p w:rsidR="00930348" w:rsidRDefault="00930348" w:rsidP="00930348">
            <w:pPr>
              <w:ind w:firstLine="0"/>
            </w:pPr>
          </w:p>
        </w:tc>
      </w:tr>
    </w:tbl>
    <w:p w:rsidR="00C97C83" w:rsidRDefault="007463AE" w:rsidP="00930348">
      <w:pPr>
        <w:pStyle w:val="HTMLPreformatted"/>
        <w:shd w:val="clear" w:color="auto" w:fill="FFFFFF"/>
      </w:pPr>
      <w:r>
        <w:rPr>
          <w:noProof/>
        </w:rPr>
        <w:lastRenderedPageBreak/>
        <w:drawing>
          <wp:inline distT="0" distB="0" distL="0" distR="0">
            <wp:extent cx="4683125" cy="2997200"/>
            <wp:effectExtent l="0" t="0" r="0" b="0"/>
            <wp:docPr id="47" name="Picture 47" descr="C:\Users\komah\OneDrive\Documents\0-HDip\Semester-2\Machine-Learning\Assignment-2\feature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komah\OneDrive\Documents\0-HDip\Semester-2\Machine-Learning\Assignment-2\featureImporta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3125" cy="2997200"/>
                    </a:xfrm>
                    <a:prstGeom prst="rect">
                      <a:avLst/>
                    </a:prstGeom>
                    <a:noFill/>
                    <a:ln>
                      <a:noFill/>
                    </a:ln>
                  </pic:spPr>
                </pic:pic>
              </a:graphicData>
            </a:graphic>
          </wp:inline>
        </w:drawing>
      </w:r>
    </w:p>
    <w:p w:rsidR="00C97C83" w:rsidRPr="00C97C83" w:rsidRDefault="00C97C83" w:rsidP="00C97C83">
      <w:pPr>
        <w:pStyle w:val="Caption"/>
        <w:jc w:val="right"/>
        <w:rPr>
          <w:b w:val="0"/>
          <w:sz w:val="17"/>
          <w:szCs w:val="17"/>
        </w:rPr>
      </w:pPr>
      <w:r w:rsidRPr="00C97C83">
        <w:rPr>
          <w:b w:val="0"/>
          <w:sz w:val="17"/>
          <w:szCs w:val="17"/>
        </w:rPr>
        <w:t xml:space="preserve">Figure </w:t>
      </w:r>
      <w:r w:rsidRPr="00C97C83">
        <w:rPr>
          <w:b w:val="0"/>
          <w:sz w:val="17"/>
          <w:szCs w:val="17"/>
        </w:rPr>
        <w:fldChar w:fldCharType="begin"/>
      </w:r>
      <w:r w:rsidRPr="00C97C83">
        <w:rPr>
          <w:b w:val="0"/>
          <w:sz w:val="17"/>
          <w:szCs w:val="17"/>
        </w:rPr>
        <w:instrText xml:space="preserve"> SEQ Table \* ARABIC </w:instrText>
      </w:r>
      <w:r w:rsidRPr="00C97C83">
        <w:rPr>
          <w:b w:val="0"/>
          <w:sz w:val="17"/>
          <w:szCs w:val="17"/>
        </w:rPr>
        <w:fldChar w:fldCharType="separate"/>
      </w:r>
      <w:r w:rsidR="00FB0E03">
        <w:rPr>
          <w:b w:val="0"/>
          <w:noProof/>
          <w:sz w:val="17"/>
          <w:szCs w:val="17"/>
        </w:rPr>
        <w:t>3</w:t>
      </w:r>
      <w:r w:rsidRPr="00C97C83">
        <w:rPr>
          <w:b w:val="0"/>
          <w:sz w:val="17"/>
          <w:szCs w:val="17"/>
        </w:rPr>
        <w:fldChar w:fldCharType="end"/>
      </w:r>
      <w:r w:rsidRPr="00C97C83">
        <w:rPr>
          <w:b w:val="0"/>
          <w:sz w:val="17"/>
          <w:szCs w:val="17"/>
        </w:rPr>
        <w:t xml:space="preserve">.  </w:t>
      </w:r>
      <w:r w:rsidR="00D75CA1">
        <w:rPr>
          <w:b w:val="0"/>
          <w:sz w:val="17"/>
          <w:szCs w:val="17"/>
        </w:rPr>
        <w:t>Feature importance reported by RandomForest model.</w:t>
      </w:r>
    </w:p>
    <w:p w:rsidR="00C97C83" w:rsidRDefault="00C97C83" w:rsidP="000777D3">
      <w:pPr>
        <w:ind w:firstLine="0"/>
      </w:pPr>
    </w:p>
    <w:p w:rsidR="00DE4937" w:rsidRDefault="00DE4937" w:rsidP="000777D3">
      <w:pPr>
        <w:ind w:firstLine="0"/>
      </w:pPr>
      <w:r>
        <w:rPr>
          <w:rFonts w:ascii="Times New Roman" w:hAnsi="Times New Roman"/>
          <w:bCs/>
          <w:color w:val="000000"/>
        </w:rPr>
        <w:t xml:space="preserve">We see that the most dominate features are </w:t>
      </w:r>
      <w:r w:rsidRPr="00930348">
        <w:rPr>
          <w:rFonts w:ascii="Times New Roman" w:hAnsi="Times New Roman"/>
          <w:bCs/>
          <w:color w:val="000000"/>
        </w:rPr>
        <w:t>DayOfMonth</w:t>
      </w:r>
      <w:r>
        <w:rPr>
          <w:rFonts w:ascii="Times New Roman" w:hAnsi="Times New Roman"/>
          <w:bCs/>
          <w:color w:val="000000"/>
        </w:rPr>
        <w:t xml:space="preserve">, </w:t>
      </w:r>
      <w:r w:rsidRPr="00930348">
        <w:rPr>
          <w:rFonts w:ascii="Times New Roman" w:hAnsi="Times New Roman"/>
          <w:bCs/>
          <w:color w:val="000000"/>
        </w:rPr>
        <w:t>DayOfWeek</w:t>
      </w:r>
      <w:r>
        <w:rPr>
          <w:rFonts w:ascii="Times New Roman" w:hAnsi="Times New Roman"/>
          <w:bCs/>
          <w:color w:val="000000"/>
        </w:rPr>
        <w:t xml:space="preserve">, daily </w:t>
      </w:r>
      <w:r w:rsidRPr="00930348">
        <w:rPr>
          <w:rFonts w:ascii="Times New Roman" w:hAnsi="Times New Roman"/>
          <w:bCs/>
          <w:color w:val="000000"/>
        </w:rPr>
        <w:t>high</w:t>
      </w:r>
      <w:r>
        <w:rPr>
          <w:rFonts w:ascii="Times New Roman" w:hAnsi="Times New Roman"/>
          <w:bCs/>
          <w:color w:val="000000"/>
        </w:rPr>
        <w:t xml:space="preserve"> and </w:t>
      </w:r>
      <w:r w:rsidRPr="00930348">
        <w:rPr>
          <w:rFonts w:ascii="Times New Roman" w:hAnsi="Times New Roman"/>
          <w:bCs/>
          <w:color w:val="000000"/>
        </w:rPr>
        <w:t>close</w:t>
      </w:r>
      <w:r>
        <w:rPr>
          <w:rFonts w:ascii="Times New Roman" w:hAnsi="Times New Roman"/>
          <w:bCs/>
          <w:color w:val="000000"/>
        </w:rPr>
        <w:t xml:space="preserve">. Features contributing very little include: </w:t>
      </w:r>
      <w:r w:rsidRPr="00930348">
        <w:rPr>
          <w:rFonts w:ascii="Times New Roman" w:hAnsi="Times New Roman"/>
          <w:bCs/>
          <w:color w:val="000000"/>
        </w:rPr>
        <w:t>WeekOfYear</w:t>
      </w:r>
      <w:r>
        <w:rPr>
          <w:rFonts w:ascii="Times New Roman" w:hAnsi="Times New Roman"/>
          <w:bCs/>
          <w:color w:val="000000"/>
        </w:rPr>
        <w:t xml:space="preserve">, dirn, close_at_high and close_at_low. It would appear that removing any of these features would have practically no effect on the prediction outcome. </w:t>
      </w:r>
      <w:r w:rsidR="00D81D2F">
        <w:rPr>
          <w:rFonts w:ascii="Times New Roman" w:hAnsi="Times New Roman"/>
          <w:bCs/>
          <w:color w:val="000000"/>
        </w:rPr>
        <w:t>However,</w:t>
      </w:r>
      <w:r>
        <w:rPr>
          <w:rFonts w:ascii="Times New Roman" w:hAnsi="Times New Roman"/>
          <w:bCs/>
          <w:color w:val="000000"/>
        </w:rPr>
        <w:t xml:space="preserve"> when any combination of these features </w:t>
      </w:r>
      <w:r w:rsidR="00D81D2F">
        <w:rPr>
          <w:rFonts w:ascii="Times New Roman" w:hAnsi="Times New Roman"/>
          <w:bCs/>
          <w:color w:val="000000"/>
        </w:rPr>
        <w:t>was</w:t>
      </w:r>
      <w:r>
        <w:rPr>
          <w:rFonts w:ascii="Times New Roman" w:hAnsi="Times New Roman"/>
          <w:bCs/>
          <w:color w:val="000000"/>
        </w:rPr>
        <w:t xml:space="preserve"> re</w:t>
      </w:r>
      <w:r w:rsidR="004C44CA">
        <w:rPr>
          <w:rFonts w:ascii="Times New Roman" w:hAnsi="Times New Roman"/>
          <w:bCs/>
          <w:color w:val="000000"/>
        </w:rPr>
        <w:t>moved there was a significant (</w:t>
      </w:r>
      <w:r>
        <w:rPr>
          <w:rFonts w:ascii="Times New Roman" w:hAnsi="Times New Roman"/>
          <w:bCs/>
          <w:color w:val="000000"/>
        </w:rPr>
        <w:t>&gt; 4%) reduction in prediction accuracy. Combined with the small data set size and relatively small feature count it was decided to retain all features.</w:t>
      </w:r>
    </w:p>
    <w:p w:rsidR="00384C07" w:rsidRDefault="00384C07" w:rsidP="00384C07"/>
    <w:p w:rsidR="006D2647" w:rsidRDefault="006D2647" w:rsidP="00384C07"/>
    <w:p w:rsidR="000777D3" w:rsidRDefault="000777D3" w:rsidP="000777D3">
      <w:pPr>
        <w:ind w:firstLine="0"/>
        <w:rPr>
          <w:b/>
          <w:i/>
          <w:sz w:val="24"/>
          <w:szCs w:val="24"/>
        </w:rPr>
      </w:pPr>
      <w:r>
        <w:rPr>
          <w:b/>
          <w:i/>
          <w:sz w:val="24"/>
          <w:szCs w:val="24"/>
        </w:rPr>
        <w:t xml:space="preserve">4.2 Results </w:t>
      </w:r>
    </w:p>
    <w:p w:rsidR="00D6362A" w:rsidRDefault="00FE3736" w:rsidP="000777D3">
      <w:pPr>
        <w:ind w:firstLine="0"/>
      </w:pPr>
      <w:r w:rsidRPr="00FE3736">
        <w:t xml:space="preserve">The results from running </w:t>
      </w:r>
      <w:r>
        <w:t xml:space="preserve">a train/test cycle for </w:t>
      </w:r>
      <w:r w:rsidR="00FA5C78">
        <w:t>1/1/</w:t>
      </w:r>
      <w:r>
        <w:t xml:space="preserve">2016 </w:t>
      </w:r>
      <w:r w:rsidR="00FA5C78">
        <w:t xml:space="preserve">through to </w:t>
      </w:r>
      <w:r w:rsidR="00B60E39">
        <w:t xml:space="preserve">31/12/2016 </w:t>
      </w:r>
      <w:r>
        <w:t xml:space="preserve">on the DAX </w:t>
      </w:r>
      <w:r w:rsidR="00147CF6">
        <w:t xml:space="preserve">using a training period of 3 days </w:t>
      </w:r>
      <w:r>
        <w:t xml:space="preserve">produced the average forecasts as shown </w:t>
      </w:r>
      <w:r w:rsidR="000778CA">
        <w:t>in tabular and graphical format below</w:t>
      </w:r>
      <w:r>
        <w:t>.</w:t>
      </w:r>
    </w:p>
    <w:p w:rsidR="006D2647" w:rsidRDefault="006D2647">
      <w:pPr>
        <w:overflowPunct/>
        <w:autoSpaceDE/>
        <w:autoSpaceDN/>
        <w:adjustRightInd/>
        <w:spacing w:line="240" w:lineRule="auto"/>
        <w:ind w:firstLine="0"/>
        <w:jc w:val="left"/>
        <w:textAlignment w:val="auto"/>
      </w:pPr>
      <w:r>
        <w:br w:type="page"/>
      </w:r>
    </w:p>
    <w:p w:rsidR="00D6362A" w:rsidRPr="000E42AE" w:rsidRDefault="00D6362A" w:rsidP="0072507E">
      <w:pPr>
        <w:pStyle w:val="Caption"/>
        <w:keepNext/>
        <w:ind w:hanging="142"/>
        <w:jc w:val="center"/>
        <w:rPr>
          <w:b w:val="0"/>
          <w:sz w:val="17"/>
          <w:szCs w:val="17"/>
        </w:rPr>
      </w:pPr>
      <w:r w:rsidRPr="000E42AE">
        <w:rPr>
          <w:b w:val="0"/>
          <w:bCs w:val="0"/>
          <w:sz w:val="17"/>
          <w:szCs w:val="17"/>
        </w:rPr>
        <w:lastRenderedPageBreak/>
        <w:t>T</w:t>
      </w:r>
      <w:r w:rsidRPr="000E42AE">
        <w:rPr>
          <w:b w:val="0"/>
          <w:sz w:val="17"/>
          <w:szCs w:val="17"/>
        </w:rPr>
        <w:t xml:space="preserve">able </w:t>
      </w:r>
      <w:r w:rsidR="00C97C83">
        <w:rPr>
          <w:b w:val="0"/>
          <w:sz w:val="17"/>
          <w:szCs w:val="17"/>
        </w:rPr>
        <w:t>1</w:t>
      </w:r>
      <w:r w:rsidRPr="000E42AE">
        <w:rPr>
          <w:b w:val="0"/>
          <w:sz w:val="17"/>
          <w:szCs w:val="17"/>
        </w:rPr>
        <w:t>.</w:t>
      </w:r>
      <w:r>
        <w:rPr>
          <w:b w:val="0"/>
          <w:sz w:val="17"/>
          <w:szCs w:val="17"/>
        </w:rPr>
        <w:t xml:space="preserve">  Average short term forecasts for DAX index for 2016</w:t>
      </w:r>
    </w:p>
    <w:p w:rsidR="00D6362A" w:rsidRPr="000E42AE" w:rsidRDefault="00D6362A" w:rsidP="0072507E">
      <w:pPr>
        <w:jc w:val="center"/>
      </w:pPr>
    </w:p>
    <w:tbl>
      <w:tblPr>
        <w:tblW w:w="0" w:type="auto"/>
        <w:jc w:val="center"/>
        <w:tblBorders>
          <w:top w:val="single" w:sz="4" w:space="0" w:color="auto"/>
          <w:bottom w:val="single" w:sz="4" w:space="0" w:color="auto"/>
          <w:insideH w:val="single" w:sz="4" w:space="0" w:color="auto"/>
        </w:tblBorders>
        <w:tblCellMar>
          <w:left w:w="72" w:type="dxa"/>
          <w:right w:w="72" w:type="dxa"/>
        </w:tblCellMar>
        <w:tblLook w:val="01E0" w:firstRow="1" w:lastRow="1" w:firstColumn="1" w:lastColumn="1" w:noHBand="0" w:noVBand="0"/>
      </w:tblPr>
      <w:tblGrid>
        <w:gridCol w:w="1109"/>
        <w:gridCol w:w="1098"/>
        <w:gridCol w:w="1109"/>
        <w:gridCol w:w="1110"/>
        <w:gridCol w:w="1110"/>
      </w:tblGrid>
      <w:tr w:rsidR="0079631D" w:rsidRPr="007134C2" w:rsidTr="0079631D">
        <w:trPr>
          <w:jc w:val="center"/>
        </w:trPr>
        <w:tc>
          <w:tcPr>
            <w:tcW w:w="1109" w:type="dxa"/>
          </w:tcPr>
          <w:p w:rsidR="0079631D" w:rsidRPr="000E42AE" w:rsidRDefault="0079631D" w:rsidP="00A6567D">
            <w:pPr>
              <w:ind w:firstLine="0"/>
              <w:jc w:val="center"/>
              <w:rPr>
                <w:b/>
                <w:bCs/>
                <w:sz w:val="17"/>
                <w:szCs w:val="17"/>
              </w:rPr>
            </w:pPr>
            <w:r w:rsidRPr="000E42AE">
              <w:rPr>
                <w:b/>
                <w:bCs/>
                <w:sz w:val="17"/>
                <w:szCs w:val="17"/>
              </w:rPr>
              <w:t>Days</w:t>
            </w:r>
          </w:p>
          <w:p w:rsidR="0079631D" w:rsidRPr="000E42AE" w:rsidRDefault="0079631D" w:rsidP="00A6567D">
            <w:pPr>
              <w:ind w:firstLine="0"/>
              <w:jc w:val="center"/>
              <w:rPr>
                <w:b/>
                <w:bCs/>
                <w:sz w:val="17"/>
                <w:szCs w:val="17"/>
              </w:rPr>
            </w:pPr>
            <w:r w:rsidRPr="000E42AE">
              <w:rPr>
                <w:b/>
                <w:bCs/>
                <w:sz w:val="17"/>
                <w:szCs w:val="17"/>
              </w:rPr>
              <w:t>Ahead</w:t>
            </w:r>
          </w:p>
          <w:p w:rsidR="0079631D" w:rsidRPr="000E42AE" w:rsidRDefault="0079631D" w:rsidP="00A6567D">
            <w:pPr>
              <w:ind w:firstLine="0"/>
              <w:jc w:val="center"/>
              <w:rPr>
                <w:b/>
                <w:bCs/>
                <w:sz w:val="17"/>
                <w:szCs w:val="17"/>
              </w:rPr>
            </w:pPr>
            <w:r w:rsidRPr="000E42AE">
              <w:rPr>
                <w:b/>
                <w:bCs/>
                <w:sz w:val="17"/>
                <w:szCs w:val="17"/>
              </w:rPr>
              <w:t>Forecast</w:t>
            </w:r>
          </w:p>
        </w:tc>
        <w:tc>
          <w:tcPr>
            <w:tcW w:w="1098" w:type="dxa"/>
          </w:tcPr>
          <w:p w:rsidR="0079631D" w:rsidRPr="000E42AE" w:rsidRDefault="0079631D" w:rsidP="00A6567D">
            <w:pPr>
              <w:ind w:firstLine="0"/>
              <w:rPr>
                <w:b/>
                <w:bCs/>
                <w:sz w:val="17"/>
                <w:szCs w:val="17"/>
              </w:rPr>
            </w:pPr>
            <w:r w:rsidRPr="000E42AE">
              <w:rPr>
                <w:b/>
                <w:bCs/>
                <w:sz w:val="17"/>
                <w:szCs w:val="17"/>
              </w:rPr>
              <w:t xml:space="preserve"> Ada</w:t>
            </w:r>
          </w:p>
          <w:p w:rsidR="0079631D" w:rsidRPr="000E42AE" w:rsidRDefault="0079631D" w:rsidP="00A6567D">
            <w:pPr>
              <w:ind w:firstLine="0"/>
              <w:rPr>
                <w:b/>
                <w:bCs/>
                <w:sz w:val="17"/>
                <w:szCs w:val="17"/>
              </w:rPr>
            </w:pPr>
            <w:r w:rsidRPr="000E42AE">
              <w:rPr>
                <w:b/>
                <w:bCs/>
                <w:sz w:val="17"/>
                <w:szCs w:val="17"/>
              </w:rPr>
              <w:t>Boost</w:t>
            </w:r>
          </w:p>
        </w:tc>
        <w:tc>
          <w:tcPr>
            <w:tcW w:w="1109" w:type="dxa"/>
          </w:tcPr>
          <w:p w:rsidR="0079631D" w:rsidRPr="000E42AE" w:rsidRDefault="0079631D" w:rsidP="00A6567D">
            <w:pPr>
              <w:ind w:firstLine="0"/>
              <w:rPr>
                <w:b/>
                <w:bCs/>
                <w:sz w:val="17"/>
                <w:szCs w:val="17"/>
              </w:rPr>
            </w:pPr>
            <w:r w:rsidRPr="000E42AE">
              <w:rPr>
                <w:b/>
                <w:bCs/>
                <w:sz w:val="17"/>
                <w:szCs w:val="17"/>
              </w:rPr>
              <w:t>Support    Vector Machine</w:t>
            </w:r>
          </w:p>
        </w:tc>
        <w:tc>
          <w:tcPr>
            <w:tcW w:w="1110" w:type="dxa"/>
            <w:shd w:val="clear" w:color="auto" w:fill="auto"/>
          </w:tcPr>
          <w:p w:rsidR="0079631D" w:rsidRPr="000E42AE" w:rsidRDefault="0079631D" w:rsidP="00A6567D">
            <w:pPr>
              <w:ind w:firstLine="0"/>
              <w:rPr>
                <w:b/>
                <w:bCs/>
                <w:sz w:val="17"/>
                <w:szCs w:val="17"/>
              </w:rPr>
            </w:pPr>
            <w:r w:rsidRPr="000E42AE">
              <w:rPr>
                <w:b/>
                <w:bCs/>
                <w:sz w:val="17"/>
                <w:szCs w:val="17"/>
              </w:rPr>
              <w:t xml:space="preserve">Random </w:t>
            </w:r>
          </w:p>
          <w:p w:rsidR="0079631D" w:rsidRPr="000E42AE" w:rsidRDefault="0079631D" w:rsidP="00A6567D">
            <w:pPr>
              <w:ind w:firstLine="0"/>
              <w:rPr>
                <w:b/>
                <w:bCs/>
                <w:sz w:val="17"/>
                <w:szCs w:val="17"/>
              </w:rPr>
            </w:pPr>
            <w:r w:rsidRPr="000E42AE">
              <w:rPr>
                <w:b/>
                <w:bCs/>
                <w:sz w:val="17"/>
                <w:szCs w:val="17"/>
              </w:rPr>
              <w:t xml:space="preserve">  Forest</w:t>
            </w:r>
          </w:p>
        </w:tc>
        <w:tc>
          <w:tcPr>
            <w:tcW w:w="1110" w:type="dxa"/>
            <w:shd w:val="clear" w:color="auto" w:fill="auto"/>
          </w:tcPr>
          <w:p w:rsidR="0079631D" w:rsidRPr="000E42AE" w:rsidRDefault="0079631D" w:rsidP="00A6567D">
            <w:pPr>
              <w:ind w:hanging="34"/>
              <w:rPr>
                <w:b/>
                <w:bCs/>
                <w:sz w:val="17"/>
                <w:szCs w:val="17"/>
              </w:rPr>
            </w:pPr>
            <w:r w:rsidRPr="000E42AE">
              <w:rPr>
                <w:b/>
                <w:bCs/>
                <w:sz w:val="17"/>
                <w:szCs w:val="17"/>
              </w:rPr>
              <w:t>Gradient</w:t>
            </w:r>
          </w:p>
          <w:p w:rsidR="0079631D" w:rsidRPr="000E42AE" w:rsidRDefault="0079631D" w:rsidP="00A6567D">
            <w:pPr>
              <w:ind w:hanging="34"/>
              <w:rPr>
                <w:b/>
                <w:bCs/>
                <w:sz w:val="17"/>
                <w:szCs w:val="17"/>
              </w:rPr>
            </w:pPr>
            <w:r w:rsidRPr="000E42AE">
              <w:rPr>
                <w:b/>
                <w:bCs/>
                <w:sz w:val="17"/>
                <w:szCs w:val="17"/>
              </w:rPr>
              <w:t xml:space="preserve">  Boost</w:t>
            </w:r>
          </w:p>
        </w:tc>
      </w:tr>
      <w:tr w:rsidR="0079631D" w:rsidRPr="007134C2" w:rsidTr="0079631D">
        <w:trPr>
          <w:jc w:val="center"/>
        </w:trPr>
        <w:tc>
          <w:tcPr>
            <w:tcW w:w="1109" w:type="dxa"/>
          </w:tcPr>
          <w:p w:rsidR="0079631D" w:rsidRDefault="0079631D" w:rsidP="00A6567D">
            <w:pPr>
              <w:ind w:firstLine="0"/>
              <w:jc w:val="center"/>
              <w:rPr>
                <w:b/>
                <w:sz w:val="17"/>
                <w:szCs w:val="17"/>
              </w:rPr>
            </w:pPr>
          </w:p>
          <w:p w:rsidR="0079631D" w:rsidRPr="000E42AE" w:rsidRDefault="0079631D" w:rsidP="00A6567D">
            <w:pPr>
              <w:ind w:firstLine="0"/>
              <w:jc w:val="center"/>
              <w:rPr>
                <w:b/>
                <w:sz w:val="17"/>
                <w:szCs w:val="17"/>
              </w:rPr>
            </w:pPr>
            <w:r w:rsidRPr="000E42AE">
              <w:rPr>
                <w:b/>
                <w:sz w:val="17"/>
                <w:szCs w:val="17"/>
              </w:rPr>
              <w:t>1</w:t>
            </w:r>
          </w:p>
          <w:p w:rsidR="0079631D" w:rsidRPr="000E42AE" w:rsidRDefault="0079631D" w:rsidP="00A6567D">
            <w:pPr>
              <w:ind w:firstLine="0"/>
              <w:jc w:val="center"/>
              <w:rPr>
                <w:b/>
                <w:sz w:val="17"/>
                <w:szCs w:val="17"/>
              </w:rPr>
            </w:pPr>
            <w:r w:rsidRPr="000E42AE">
              <w:rPr>
                <w:b/>
                <w:sz w:val="17"/>
                <w:szCs w:val="17"/>
              </w:rPr>
              <w:t>2</w:t>
            </w:r>
          </w:p>
          <w:p w:rsidR="0079631D" w:rsidRPr="000E42AE" w:rsidRDefault="0079631D" w:rsidP="00A6567D">
            <w:pPr>
              <w:ind w:firstLine="0"/>
              <w:jc w:val="center"/>
              <w:rPr>
                <w:b/>
                <w:sz w:val="17"/>
                <w:szCs w:val="17"/>
              </w:rPr>
            </w:pPr>
            <w:r w:rsidRPr="000E42AE">
              <w:rPr>
                <w:b/>
                <w:sz w:val="17"/>
                <w:szCs w:val="17"/>
              </w:rPr>
              <w:t>3</w:t>
            </w:r>
          </w:p>
          <w:p w:rsidR="0079631D" w:rsidRPr="000E42AE" w:rsidRDefault="0079631D" w:rsidP="00A6567D">
            <w:pPr>
              <w:ind w:firstLine="0"/>
              <w:jc w:val="center"/>
              <w:rPr>
                <w:b/>
                <w:sz w:val="17"/>
                <w:szCs w:val="17"/>
              </w:rPr>
            </w:pPr>
            <w:r w:rsidRPr="000E42AE">
              <w:rPr>
                <w:b/>
                <w:sz w:val="17"/>
                <w:szCs w:val="17"/>
              </w:rPr>
              <w:t>4</w:t>
            </w:r>
          </w:p>
          <w:p w:rsidR="0079631D" w:rsidRPr="000E42AE" w:rsidRDefault="0079631D" w:rsidP="00A6567D">
            <w:pPr>
              <w:ind w:firstLine="0"/>
              <w:jc w:val="center"/>
              <w:rPr>
                <w:b/>
                <w:sz w:val="17"/>
                <w:szCs w:val="17"/>
              </w:rPr>
            </w:pPr>
            <w:r w:rsidRPr="000E42AE">
              <w:rPr>
                <w:b/>
                <w:sz w:val="17"/>
                <w:szCs w:val="17"/>
              </w:rPr>
              <w:t>5</w:t>
            </w:r>
          </w:p>
          <w:p w:rsidR="0079631D" w:rsidRPr="000E42AE" w:rsidRDefault="0079631D" w:rsidP="00A6567D">
            <w:pPr>
              <w:ind w:firstLine="0"/>
              <w:jc w:val="center"/>
              <w:rPr>
                <w:b/>
                <w:sz w:val="17"/>
                <w:szCs w:val="17"/>
              </w:rPr>
            </w:pPr>
            <w:r w:rsidRPr="000E42AE">
              <w:rPr>
                <w:b/>
                <w:sz w:val="17"/>
                <w:szCs w:val="17"/>
              </w:rPr>
              <w:t>6</w:t>
            </w:r>
          </w:p>
          <w:p w:rsidR="0079631D" w:rsidRPr="000E42AE" w:rsidRDefault="0079631D" w:rsidP="00A6567D">
            <w:pPr>
              <w:ind w:firstLine="0"/>
              <w:jc w:val="center"/>
              <w:rPr>
                <w:b/>
                <w:sz w:val="17"/>
                <w:szCs w:val="17"/>
              </w:rPr>
            </w:pPr>
            <w:r w:rsidRPr="000E42AE">
              <w:rPr>
                <w:b/>
                <w:sz w:val="17"/>
                <w:szCs w:val="17"/>
              </w:rPr>
              <w:t>7</w:t>
            </w:r>
          </w:p>
          <w:p w:rsidR="0079631D" w:rsidRPr="000E42AE" w:rsidRDefault="0079631D" w:rsidP="00A6567D">
            <w:pPr>
              <w:ind w:firstLine="0"/>
              <w:jc w:val="center"/>
              <w:rPr>
                <w:b/>
                <w:sz w:val="17"/>
                <w:szCs w:val="17"/>
              </w:rPr>
            </w:pPr>
            <w:r w:rsidRPr="000E42AE">
              <w:rPr>
                <w:b/>
                <w:sz w:val="17"/>
                <w:szCs w:val="17"/>
              </w:rPr>
              <w:t>8</w:t>
            </w:r>
          </w:p>
          <w:p w:rsidR="0079631D" w:rsidRPr="000E42AE" w:rsidRDefault="0079631D" w:rsidP="00A6567D">
            <w:pPr>
              <w:ind w:firstLine="0"/>
              <w:jc w:val="center"/>
              <w:rPr>
                <w:b/>
                <w:sz w:val="17"/>
                <w:szCs w:val="17"/>
              </w:rPr>
            </w:pPr>
            <w:r w:rsidRPr="000E42AE">
              <w:rPr>
                <w:b/>
                <w:sz w:val="17"/>
                <w:szCs w:val="17"/>
              </w:rPr>
              <w:t>9</w:t>
            </w:r>
          </w:p>
          <w:p w:rsidR="0079631D" w:rsidRPr="007134C2" w:rsidRDefault="0079631D" w:rsidP="00A6567D">
            <w:pPr>
              <w:ind w:firstLine="0"/>
              <w:jc w:val="center"/>
              <w:rPr>
                <w:sz w:val="17"/>
                <w:szCs w:val="17"/>
              </w:rPr>
            </w:pPr>
            <w:r w:rsidRPr="000E42AE">
              <w:rPr>
                <w:b/>
                <w:sz w:val="17"/>
                <w:szCs w:val="17"/>
              </w:rPr>
              <w:t>10</w:t>
            </w:r>
          </w:p>
        </w:tc>
        <w:tc>
          <w:tcPr>
            <w:tcW w:w="1098" w:type="dxa"/>
          </w:tcPr>
          <w:p w:rsidR="0079631D" w:rsidRDefault="0079631D" w:rsidP="00A6567D">
            <w:pPr>
              <w:ind w:firstLine="0"/>
              <w:rPr>
                <w:sz w:val="17"/>
                <w:szCs w:val="17"/>
              </w:rPr>
            </w:pPr>
          </w:p>
          <w:p w:rsidR="0079631D" w:rsidRDefault="0079631D" w:rsidP="00A6567D">
            <w:pPr>
              <w:ind w:firstLine="0"/>
              <w:rPr>
                <w:sz w:val="17"/>
                <w:szCs w:val="17"/>
              </w:rPr>
            </w:pPr>
            <w:r>
              <w:rPr>
                <w:sz w:val="17"/>
                <w:szCs w:val="17"/>
              </w:rPr>
              <w:t>80.29</w:t>
            </w:r>
          </w:p>
          <w:p w:rsidR="0079631D" w:rsidRDefault="0079631D" w:rsidP="00A6567D">
            <w:pPr>
              <w:ind w:firstLine="0"/>
              <w:rPr>
                <w:sz w:val="17"/>
                <w:szCs w:val="17"/>
              </w:rPr>
            </w:pPr>
            <w:r>
              <w:rPr>
                <w:sz w:val="17"/>
                <w:szCs w:val="17"/>
              </w:rPr>
              <w:t>84.56</w:t>
            </w:r>
          </w:p>
          <w:p w:rsidR="0079631D" w:rsidRDefault="0079631D" w:rsidP="00A6567D">
            <w:pPr>
              <w:ind w:firstLine="0"/>
              <w:rPr>
                <w:sz w:val="17"/>
                <w:szCs w:val="17"/>
              </w:rPr>
            </w:pPr>
            <w:r>
              <w:rPr>
                <w:sz w:val="17"/>
                <w:szCs w:val="17"/>
              </w:rPr>
              <w:t>82.96</w:t>
            </w:r>
          </w:p>
          <w:p w:rsidR="0079631D" w:rsidRDefault="0079631D" w:rsidP="00A6567D">
            <w:pPr>
              <w:ind w:firstLine="0"/>
              <w:rPr>
                <w:sz w:val="17"/>
                <w:szCs w:val="17"/>
              </w:rPr>
            </w:pPr>
            <w:r>
              <w:rPr>
                <w:sz w:val="17"/>
                <w:szCs w:val="17"/>
              </w:rPr>
              <w:t>79.10</w:t>
            </w:r>
          </w:p>
          <w:p w:rsidR="0079631D" w:rsidRDefault="0079631D" w:rsidP="00A6567D">
            <w:pPr>
              <w:ind w:firstLine="0"/>
              <w:rPr>
                <w:sz w:val="17"/>
                <w:szCs w:val="17"/>
              </w:rPr>
            </w:pPr>
            <w:r>
              <w:rPr>
                <w:sz w:val="17"/>
                <w:szCs w:val="17"/>
              </w:rPr>
              <w:t>86.57</w:t>
            </w:r>
          </w:p>
          <w:p w:rsidR="0079631D" w:rsidRDefault="0079631D" w:rsidP="00A6567D">
            <w:pPr>
              <w:ind w:firstLine="0"/>
              <w:rPr>
                <w:sz w:val="17"/>
                <w:szCs w:val="17"/>
              </w:rPr>
            </w:pPr>
            <w:r>
              <w:rPr>
                <w:sz w:val="17"/>
                <w:szCs w:val="17"/>
              </w:rPr>
              <w:t>83.70</w:t>
            </w:r>
          </w:p>
          <w:p w:rsidR="0079631D" w:rsidRDefault="0079631D" w:rsidP="00A6567D">
            <w:pPr>
              <w:ind w:firstLine="0"/>
              <w:rPr>
                <w:sz w:val="17"/>
                <w:szCs w:val="17"/>
              </w:rPr>
            </w:pPr>
            <w:r>
              <w:rPr>
                <w:sz w:val="17"/>
                <w:szCs w:val="17"/>
              </w:rPr>
              <w:t>81.34</w:t>
            </w:r>
          </w:p>
          <w:p w:rsidR="0079631D" w:rsidRDefault="0079631D" w:rsidP="00A6567D">
            <w:pPr>
              <w:ind w:firstLine="0"/>
              <w:rPr>
                <w:sz w:val="17"/>
                <w:szCs w:val="17"/>
              </w:rPr>
            </w:pPr>
            <w:r>
              <w:rPr>
                <w:sz w:val="17"/>
                <w:szCs w:val="17"/>
              </w:rPr>
              <w:t>79.85</w:t>
            </w:r>
          </w:p>
          <w:p w:rsidR="0079631D" w:rsidRDefault="0079631D" w:rsidP="00A6567D">
            <w:pPr>
              <w:ind w:firstLine="0"/>
              <w:rPr>
                <w:sz w:val="17"/>
                <w:szCs w:val="17"/>
              </w:rPr>
            </w:pPr>
            <w:r>
              <w:rPr>
                <w:sz w:val="17"/>
                <w:szCs w:val="17"/>
              </w:rPr>
              <w:t>75.76</w:t>
            </w:r>
          </w:p>
          <w:p w:rsidR="0079631D" w:rsidRPr="007134C2" w:rsidRDefault="0079631D" w:rsidP="00A6567D">
            <w:pPr>
              <w:ind w:firstLine="0"/>
              <w:rPr>
                <w:sz w:val="17"/>
                <w:szCs w:val="17"/>
              </w:rPr>
            </w:pPr>
            <w:r>
              <w:rPr>
                <w:sz w:val="17"/>
                <w:szCs w:val="17"/>
              </w:rPr>
              <w:t>73.28</w:t>
            </w:r>
          </w:p>
        </w:tc>
        <w:tc>
          <w:tcPr>
            <w:tcW w:w="1109" w:type="dxa"/>
          </w:tcPr>
          <w:p w:rsidR="0079631D" w:rsidRDefault="0079631D" w:rsidP="00A6567D">
            <w:pPr>
              <w:ind w:firstLine="0"/>
              <w:rPr>
                <w:sz w:val="17"/>
                <w:szCs w:val="17"/>
              </w:rPr>
            </w:pPr>
            <w:r>
              <w:rPr>
                <w:sz w:val="17"/>
                <w:szCs w:val="17"/>
              </w:rPr>
              <w:t xml:space="preserve"> </w:t>
            </w:r>
          </w:p>
          <w:p w:rsidR="0079631D" w:rsidRDefault="0079631D" w:rsidP="00A6567D">
            <w:pPr>
              <w:ind w:firstLine="0"/>
              <w:rPr>
                <w:sz w:val="17"/>
                <w:szCs w:val="17"/>
              </w:rPr>
            </w:pPr>
            <w:r>
              <w:rPr>
                <w:sz w:val="17"/>
                <w:szCs w:val="17"/>
              </w:rPr>
              <w:t>70.07</w:t>
            </w:r>
          </w:p>
          <w:p w:rsidR="0079631D" w:rsidRDefault="0079631D" w:rsidP="00A6567D">
            <w:pPr>
              <w:ind w:firstLine="0"/>
              <w:rPr>
                <w:sz w:val="17"/>
                <w:szCs w:val="17"/>
              </w:rPr>
            </w:pPr>
            <w:r>
              <w:rPr>
                <w:sz w:val="17"/>
                <w:szCs w:val="17"/>
              </w:rPr>
              <w:t xml:space="preserve"> 66.18</w:t>
            </w:r>
          </w:p>
          <w:p w:rsidR="0079631D" w:rsidRDefault="0079631D" w:rsidP="00A6567D">
            <w:pPr>
              <w:ind w:firstLine="0"/>
              <w:rPr>
                <w:sz w:val="17"/>
                <w:szCs w:val="17"/>
              </w:rPr>
            </w:pPr>
            <w:r>
              <w:rPr>
                <w:sz w:val="17"/>
                <w:szCs w:val="17"/>
              </w:rPr>
              <w:t xml:space="preserve"> 71.11</w:t>
            </w:r>
          </w:p>
          <w:p w:rsidR="0079631D" w:rsidRDefault="0079631D" w:rsidP="00A6567D">
            <w:pPr>
              <w:ind w:firstLine="0"/>
              <w:rPr>
                <w:sz w:val="17"/>
                <w:szCs w:val="17"/>
              </w:rPr>
            </w:pPr>
            <w:r>
              <w:rPr>
                <w:sz w:val="17"/>
                <w:szCs w:val="17"/>
              </w:rPr>
              <w:t xml:space="preserve"> 70.15</w:t>
            </w:r>
          </w:p>
          <w:p w:rsidR="0079631D" w:rsidRDefault="0079631D" w:rsidP="00A6567D">
            <w:pPr>
              <w:ind w:firstLine="0"/>
              <w:rPr>
                <w:sz w:val="17"/>
                <w:szCs w:val="17"/>
              </w:rPr>
            </w:pPr>
            <w:r>
              <w:rPr>
                <w:sz w:val="17"/>
                <w:szCs w:val="17"/>
              </w:rPr>
              <w:t xml:space="preserve"> 69.40</w:t>
            </w:r>
          </w:p>
          <w:p w:rsidR="0079631D" w:rsidRDefault="0079631D" w:rsidP="00A6567D">
            <w:pPr>
              <w:ind w:firstLine="0"/>
              <w:rPr>
                <w:sz w:val="17"/>
                <w:szCs w:val="17"/>
              </w:rPr>
            </w:pPr>
            <w:r>
              <w:rPr>
                <w:sz w:val="17"/>
                <w:szCs w:val="17"/>
              </w:rPr>
              <w:t xml:space="preserve"> 67.41</w:t>
            </w:r>
          </w:p>
          <w:p w:rsidR="0079631D" w:rsidRDefault="0079631D" w:rsidP="00A6567D">
            <w:pPr>
              <w:ind w:firstLine="0"/>
              <w:rPr>
                <w:sz w:val="17"/>
                <w:szCs w:val="17"/>
              </w:rPr>
            </w:pPr>
            <w:r>
              <w:rPr>
                <w:sz w:val="17"/>
                <w:szCs w:val="17"/>
              </w:rPr>
              <w:t xml:space="preserve"> 66.42</w:t>
            </w:r>
          </w:p>
          <w:p w:rsidR="0079631D" w:rsidRDefault="0079631D" w:rsidP="00A6567D">
            <w:pPr>
              <w:ind w:firstLine="0"/>
              <w:rPr>
                <w:sz w:val="17"/>
                <w:szCs w:val="17"/>
              </w:rPr>
            </w:pPr>
            <w:r>
              <w:rPr>
                <w:sz w:val="17"/>
                <w:szCs w:val="17"/>
              </w:rPr>
              <w:t xml:space="preserve"> 70.90</w:t>
            </w:r>
          </w:p>
          <w:p w:rsidR="0079631D" w:rsidRDefault="0079631D" w:rsidP="00A6567D">
            <w:pPr>
              <w:ind w:firstLine="0"/>
              <w:rPr>
                <w:sz w:val="17"/>
                <w:szCs w:val="17"/>
              </w:rPr>
            </w:pPr>
            <w:r>
              <w:rPr>
                <w:sz w:val="17"/>
                <w:szCs w:val="17"/>
              </w:rPr>
              <w:t xml:space="preserve"> 67.42</w:t>
            </w:r>
          </w:p>
          <w:p w:rsidR="0079631D" w:rsidRPr="007134C2" w:rsidRDefault="0079631D" w:rsidP="00A6567D">
            <w:pPr>
              <w:ind w:firstLine="0"/>
              <w:rPr>
                <w:sz w:val="17"/>
                <w:szCs w:val="17"/>
              </w:rPr>
            </w:pPr>
            <w:r>
              <w:rPr>
                <w:sz w:val="17"/>
                <w:szCs w:val="17"/>
              </w:rPr>
              <w:t xml:space="preserve"> 63.63</w:t>
            </w:r>
          </w:p>
        </w:tc>
        <w:tc>
          <w:tcPr>
            <w:tcW w:w="1110" w:type="dxa"/>
            <w:shd w:val="clear" w:color="auto" w:fill="auto"/>
          </w:tcPr>
          <w:p w:rsidR="0079631D" w:rsidRDefault="0079631D" w:rsidP="00A6567D">
            <w:pPr>
              <w:ind w:hanging="6"/>
              <w:rPr>
                <w:bCs/>
                <w:sz w:val="17"/>
                <w:szCs w:val="17"/>
              </w:rPr>
            </w:pPr>
            <w:r>
              <w:rPr>
                <w:bCs/>
                <w:sz w:val="17"/>
                <w:szCs w:val="17"/>
              </w:rPr>
              <w:t xml:space="preserve">  </w:t>
            </w:r>
          </w:p>
          <w:p w:rsidR="0079631D" w:rsidRPr="000E42AE" w:rsidRDefault="0079631D" w:rsidP="00A6567D">
            <w:pPr>
              <w:ind w:hanging="6"/>
              <w:rPr>
                <w:bCs/>
                <w:sz w:val="17"/>
                <w:szCs w:val="17"/>
              </w:rPr>
            </w:pPr>
            <w:r w:rsidRPr="000E42AE">
              <w:rPr>
                <w:bCs/>
                <w:sz w:val="17"/>
                <w:szCs w:val="17"/>
              </w:rPr>
              <w:t>70.80</w:t>
            </w:r>
          </w:p>
          <w:p w:rsidR="0079631D" w:rsidRPr="000E42AE" w:rsidRDefault="0079631D" w:rsidP="00A6567D">
            <w:pPr>
              <w:ind w:hanging="6"/>
              <w:rPr>
                <w:bCs/>
                <w:sz w:val="17"/>
                <w:szCs w:val="17"/>
              </w:rPr>
            </w:pPr>
            <w:r>
              <w:rPr>
                <w:bCs/>
                <w:sz w:val="17"/>
                <w:szCs w:val="17"/>
              </w:rPr>
              <w:t xml:space="preserve">  </w:t>
            </w:r>
            <w:r w:rsidRPr="000E42AE">
              <w:rPr>
                <w:bCs/>
                <w:sz w:val="17"/>
                <w:szCs w:val="17"/>
              </w:rPr>
              <w:t>71.32</w:t>
            </w:r>
          </w:p>
          <w:p w:rsidR="0079631D" w:rsidRPr="000E42AE" w:rsidRDefault="0079631D" w:rsidP="00A6567D">
            <w:pPr>
              <w:ind w:hanging="6"/>
              <w:rPr>
                <w:bCs/>
                <w:sz w:val="17"/>
                <w:szCs w:val="17"/>
              </w:rPr>
            </w:pPr>
            <w:r>
              <w:rPr>
                <w:bCs/>
                <w:sz w:val="17"/>
                <w:szCs w:val="17"/>
              </w:rPr>
              <w:t xml:space="preserve">  </w:t>
            </w:r>
            <w:r w:rsidRPr="000E42AE">
              <w:rPr>
                <w:bCs/>
                <w:sz w:val="17"/>
                <w:szCs w:val="17"/>
              </w:rPr>
              <w:t>68.15</w:t>
            </w:r>
          </w:p>
          <w:p w:rsidR="0079631D" w:rsidRPr="000E42AE" w:rsidRDefault="0079631D" w:rsidP="00A6567D">
            <w:pPr>
              <w:ind w:hanging="6"/>
              <w:rPr>
                <w:bCs/>
                <w:sz w:val="17"/>
                <w:szCs w:val="17"/>
              </w:rPr>
            </w:pPr>
            <w:r>
              <w:rPr>
                <w:bCs/>
                <w:sz w:val="17"/>
                <w:szCs w:val="17"/>
              </w:rPr>
              <w:t xml:space="preserve">  </w:t>
            </w:r>
            <w:r w:rsidRPr="000E42AE">
              <w:rPr>
                <w:bCs/>
                <w:sz w:val="17"/>
                <w:szCs w:val="17"/>
              </w:rPr>
              <w:t>66.42</w:t>
            </w:r>
          </w:p>
          <w:p w:rsidR="0079631D" w:rsidRPr="000E42AE" w:rsidRDefault="0079631D" w:rsidP="00A6567D">
            <w:pPr>
              <w:ind w:hanging="6"/>
              <w:rPr>
                <w:bCs/>
                <w:sz w:val="17"/>
                <w:szCs w:val="17"/>
              </w:rPr>
            </w:pPr>
            <w:r>
              <w:rPr>
                <w:bCs/>
                <w:sz w:val="17"/>
                <w:szCs w:val="17"/>
              </w:rPr>
              <w:t xml:space="preserve">  </w:t>
            </w:r>
            <w:r w:rsidRPr="000E42AE">
              <w:rPr>
                <w:bCs/>
                <w:sz w:val="17"/>
                <w:szCs w:val="17"/>
              </w:rPr>
              <w:t>68.66</w:t>
            </w:r>
          </w:p>
          <w:p w:rsidR="0079631D" w:rsidRPr="000E42AE" w:rsidRDefault="0079631D" w:rsidP="00A6567D">
            <w:pPr>
              <w:ind w:hanging="6"/>
              <w:rPr>
                <w:bCs/>
                <w:sz w:val="17"/>
                <w:szCs w:val="17"/>
              </w:rPr>
            </w:pPr>
            <w:r>
              <w:rPr>
                <w:bCs/>
                <w:sz w:val="17"/>
                <w:szCs w:val="17"/>
              </w:rPr>
              <w:t xml:space="preserve">  </w:t>
            </w:r>
            <w:r w:rsidRPr="000E42AE">
              <w:rPr>
                <w:bCs/>
                <w:sz w:val="17"/>
                <w:szCs w:val="17"/>
              </w:rPr>
              <w:t>68.89</w:t>
            </w:r>
          </w:p>
          <w:p w:rsidR="0079631D" w:rsidRPr="000E42AE" w:rsidRDefault="0079631D" w:rsidP="00A6567D">
            <w:pPr>
              <w:ind w:hanging="6"/>
              <w:rPr>
                <w:bCs/>
                <w:sz w:val="17"/>
                <w:szCs w:val="17"/>
              </w:rPr>
            </w:pPr>
            <w:r>
              <w:rPr>
                <w:bCs/>
                <w:sz w:val="17"/>
                <w:szCs w:val="17"/>
              </w:rPr>
              <w:t xml:space="preserve">  </w:t>
            </w:r>
            <w:r w:rsidRPr="000E42AE">
              <w:rPr>
                <w:bCs/>
                <w:sz w:val="17"/>
                <w:szCs w:val="17"/>
              </w:rPr>
              <w:t>71.64</w:t>
            </w:r>
          </w:p>
          <w:p w:rsidR="0079631D" w:rsidRPr="000E42AE" w:rsidRDefault="0079631D" w:rsidP="00A6567D">
            <w:pPr>
              <w:ind w:hanging="6"/>
              <w:rPr>
                <w:bCs/>
                <w:sz w:val="17"/>
                <w:szCs w:val="17"/>
              </w:rPr>
            </w:pPr>
            <w:r>
              <w:rPr>
                <w:bCs/>
                <w:sz w:val="17"/>
                <w:szCs w:val="17"/>
              </w:rPr>
              <w:t xml:space="preserve">  </w:t>
            </w:r>
            <w:r w:rsidRPr="000E42AE">
              <w:rPr>
                <w:bCs/>
                <w:sz w:val="17"/>
                <w:szCs w:val="17"/>
              </w:rPr>
              <w:t>67.16</w:t>
            </w:r>
          </w:p>
          <w:p w:rsidR="0079631D" w:rsidRPr="000E42AE" w:rsidRDefault="0079631D" w:rsidP="00A6567D">
            <w:pPr>
              <w:ind w:hanging="6"/>
              <w:rPr>
                <w:bCs/>
                <w:sz w:val="17"/>
                <w:szCs w:val="17"/>
              </w:rPr>
            </w:pPr>
            <w:r>
              <w:rPr>
                <w:bCs/>
                <w:sz w:val="17"/>
                <w:szCs w:val="17"/>
              </w:rPr>
              <w:t xml:space="preserve">  </w:t>
            </w:r>
            <w:r w:rsidRPr="000E42AE">
              <w:rPr>
                <w:bCs/>
                <w:sz w:val="17"/>
                <w:szCs w:val="17"/>
              </w:rPr>
              <w:t>66.67</w:t>
            </w:r>
          </w:p>
          <w:p w:rsidR="0079631D" w:rsidRPr="007134C2" w:rsidRDefault="0079631D" w:rsidP="00A6567D">
            <w:pPr>
              <w:ind w:hanging="6"/>
              <w:rPr>
                <w:b/>
                <w:bCs/>
                <w:sz w:val="17"/>
                <w:szCs w:val="17"/>
              </w:rPr>
            </w:pPr>
            <w:r>
              <w:rPr>
                <w:bCs/>
                <w:sz w:val="17"/>
                <w:szCs w:val="17"/>
              </w:rPr>
              <w:t xml:space="preserve">  </w:t>
            </w:r>
            <w:r w:rsidRPr="000E42AE">
              <w:rPr>
                <w:bCs/>
                <w:sz w:val="17"/>
                <w:szCs w:val="17"/>
              </w:rPr>
              <w:t>62.59</w:t>
            </w:r>
          </w:p>
        </w:tc>
        <w:tc>
          <w:tcPr>
            <w:tcW w:w="1110" w:type="dxa"/>
            <w:shd w:val="clear" w:color="auto" w:fill="auto"/>
            <w:vAlign w:val="center"/>
          </w:tcPr>
          <w:p w:rsidR="0079631D" w:rsidRDefault="0079631D" w:rsidP="00A6567D">
            <w:pPr>
              <w:ind w:hanging="10"/>
              <w:rPr>
                <w:sz w:val="17"/>
                <w:szCs w:val="17"/>
              </w:rPr>
            </w:pPr>
          </w:p>
          <w:p w:rsidR="0079631D" w:rsidRDefault="0079631D" w:rsidP="00A6567D">
            <w:pPr>
              <w:ind w:hanging="10"/>
              <w:rPr>
                <w:sz w:val="17"/>
                <w:szCs w:val="17"/>
              </w:rPr>
            </w:pPr>
            <w:r>
              <w:rPr>
                <w:sz w:val="17"/>
                <w:szCs w:val="17"/>
              </w:rPr>
              <w:t>77.37</w:t>
            </w:r>
          </w:p>
          <w:p w:rsidR="0079631D" w:rsidRDefault="0079631D" w:rsidP="00A6567D">
            <w:pPr>
              <w:ind w:hanging="10"/>
              <w:rPr>
                <w:sz w:val="17"/>
                <w:szCs w:val="17"/>
              </w:rPr>
            </w:pPr>
            <w:r>
              <w:rPr>
                <w:sz w:val="17"/>
                <w:szCs w:val="17"/>
              </w:rPr>
              <w:t>68.38</w:t>
            </w:r>
          </w:p>
          <w:p w:rsidR="0079631D" w:rsidRDefault="0079631D" w:rsidP="00A6567D">
            <w:pPr>
              <w:ind w:hanging="10"/>
              <w:rPr>
                <w:sz w:val="17"/>
                <w:szCs w:val="17"/>
              </w:rPr>
            </w:pPr>
            <w:r>
              <w:rPr>
                <w:sz w:val="17"/>
                <w:szCs w:val="17"/>
              </w:rPr>
              <w:t>67.41</w:t>
            </w:r>
          </w:p>
          <w:p w:rsidR="0079631D" w:rsidRDefault="0079631D" w:rsidP="00A6567D">
            <w:pPr>
              <w:ind w:hanging="10"/>
              <w:rPr>
                <w:sz w:val="17"/>
                <w:szCs w:val="17"/>
              </w:rPr>
            </w:pPr>
            <w:r>
              <w:rPr>
                <w:sz w:val="17"/>
                <w:szCs w:val="17"/>
              </w:rPr>
              <w:t>67.16</w:t>
            </w:r>
          </w:p>
          <w:p w:rsidR="0079631D" w:rsidRDefault="0079631D" w:rsidP="00A6567D">
            <w:pPr>
              <w:ind w:hanging="10"/>
              <w:rPr>
                <w:sz w:val="17"/>
                <w:szCs w:val="17"/>
              </w:rPr>
            </w:pPr>
            <w:r>
              <w:rPr>
                <w:sz w:val="17"/>
                <w:szCs w:val="17"/>
              </w:rPr>
              <w:t>69.40</w:t>
            </w:r>
          </w:p>
          <w:p w:rsidR="0079631D" w:rsidRDefault="0079631D" w:rsidP="00A6567D">
            <w:pPr>
              <w:ind w:hanging="10"/>
              <w:rPr>
                <w:sz w:val="17"/>
                <w:szCs w:val="17"/>
              </w:rPr>
            </w:pPr>
            <w:r>
              <w:rPr>
                <w:sz w:val="17"/>
                <w:szCs w:val="17"/>
              </w:rPr>
              <w:t>68.89</w:t>
            </w:r>
          </w:p>
          <w:p w:rsidR="0079631D" w:rsidRDefault="0079631D" w:rsidP="00A6567D">
            <w:pPr>
              <w:ind w:hanging="10"/>
              <w:rPr>
                <w:sz w:val="17"/>
                <w:szCs w:val="17"/>
              </w:rPr>
            </w:pPr>
            <w:r>
              <w:rPr>
                <w:sz w:val="17"/>
                <w:szCs w:val="17"/>
              </w:rPr>
              <w:t>75.37</w:t>
            </w:r>
          </w:p>
          <w:p w:rsidR="0079631D" w:rsidRDefault="0079631D" w:rsidP="00A6567D">
            <w:pPr>
              <w:ind w:hanging="10"/>
              <w:rPr>
                <w:sz w:val="17"/>
                <w:szCs w:val="17"/>
              </w:rPr>
            </w:pPr>
            <w:r>
              <w:rPr>
                <w:sz w:val="17"/>
                <w:szCs w:val="17"/>
              </w:rPr>
              <w:t>78/36</w:t>
            </w:r>
          </w:p>
          <w:p w:rsidR="0079631D" w:rsidRDefault="0079631D" w:rsidP="00A6567D">
            <w:pPr>
              <w:ind w:hanging="10"/>
              <w:rPr>
                <w:sz w:val="17"/>
                <w:szCs w:val="17"/>
              </w:rPr>
            </w:pPr>
            <w:r>
              <w:rPr>
                <w:sz w:val="17"/>
                <w:szCs w:val="17"/>
              </w:rPr>
              <w:t>73.48</w:t>
            </w:r>
          </w:p>
          <w:p w:rsidR="0079631D" w:rsidRDefault="0079631D" w:rsidP="00A6567D">
            <w:pPr>
              <w:ind w:hanging="10"/>
              <w:rPr>
                <w:sz w:val="17"/>
                <w:szCs w:val="17"/>
              </w:rPr>
            </w:pPr>
            <w:r>
              <w:rPr>
                <w:sz w:val="17"/>
                <w:szCs w:val="17"/>
              </w:rPr>
              <w:t>57.25</w:t>
            </w:r>
          </w:p>
          <w:p w:rsidR="0079631D" w:rsidRPr="007134C2" w:rsidRDefault="0079631D" w:rsidP="00A6567D">
            <w:pPr>
              <w:ind w:hanging="10"/>
              <w:rPr>
                <w:sz w:val="17"/>
                <w:szCs w:val="17"/>
              </w:rPr>
            </w:pPr>
          </w:p>
        </w:tc>
      </w:tr>
    </w:tbl>
    <w:p w:rsidR="000778CA" w:rsidRDefault="000778CA" w:rsidP="000777D3">
      <w:pPr>
        <w:ind w:firstLine="0"/>
        <w:rPr>
          <w:b/>
          <w:i/>
          <w:sz w:val="24"/>
          <w:szCs w:val="24"/>
        </w:rPr>
      </w:pPr>
    </w:p>
    <w:p w:rsidR="00235927" w:rsidRDefault="007463AE" w:rsidP="00235927">
      <w:pPr>
        <w:keepNext/>
        <w:ind w:firstLine="0"/>
      </w:pPr>
      <w:r>
        <w:rPr>
          <w:noProof/>
          <w:lang w:eastAsia="en-IE"/>
        </w:rPr>
        <w:drawing>
          <wp:inline distT="0" distB="0" distL="0" distR="0">
            <wp:extent cx="4610100" cy="29146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komah\OneDrive\Documents\0-HDip\Semester-2\Machine-Learning\Assignment-2\accuracyVday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10100" cy="2914650"/>
                    </a:xfrm>
                    <a:prstGeom prst="rect">
                      <a:avLst/>
                    </a:prstGeom>
                    <a:noFill/>
                    <a:ln>
                      <a:noFill/>
                    </a:ln>
                  </pic:spPr>
                </pic:pic>
              </a:graphicData>
            </a:graphic>
          </wp:inline>
        </w:drawing>
      </w:r>
    </w:p>
    <w:p w:rsidR="000778CA" w:rsidRDefault="00235927" w:rsidP="00235927">
      <w:pPr>
        <w:pStyle w:val="Caption"/>
        <w:jc w:val="right"/>
        <w:rPr>
          <w:b w:val="0"/>
          <w:sz w:val="17"/>
          <w:szCs w:val="17"/>
        </w:rPr>
      </w:pPr>
      <w:r>
        <w:rPr>
          <w:b w:val="0"/>
          <w:sz w:val="17"/>
          <w:szCs w:val="17"/>
        </w:rPr>
        <w:t>Figure</w:t>
      </w:r>
      <w:r w:rsidRPr="00235927">
        <w:rPr>
          <w:b w:val="0"/>
          <w:sz w:val="17"/>
          <w:szCs w:val="17"/>
        </w:rPr>
        <w:t xml:space="preserve"> </w:t>
      </w:r>
      <w:r w:rsidR="00C97C83">
        <w:rPr>
          <w:b w:val="0"/>
          <w:sz w:val="17"/>
          <w:szCs w:val="17"/>
        </w:rPr>
        <w:t>3</w:t>
      </w:r>
      <w:r w:rsidR="00BD5B69">
        <w:rPr>
          <w:b w:val="0"/>
          <w:sz w:val="17"/>
          <w:szCs w:val="17"/>
        </w:rPr>
        <w:t xml:space="preserve">. </w:t>
      </w:r>
      <w:r w:rsidRPr="00235927">
        <w:rPr>
          <w:b w:val="0"/>
          <w:sz w:val="17"/>
          <w:szCs w:val="17"/>
        </w:rPr>
        <w:t xml:space="preserve"> </w:t>
      </w:r>
      <w:r w:rsidR="00B60E39">
        <w:rPr>
          <w:b w:val="0"/>
          <w:sz w:val="17"/>
          <w:szCs w:val="17"/>
        </w:rPr>
        <w:t>Average short term forecasts for DAX index for 2016</w:t>
      </w:r>
    </w:p>
    <w:p w:rsidR="006D2647" w:rsidRPr="006D2647" w:rsidRDefault="006D2647" w:rsidP="006D2647"/>
    <w:p w:rsidR="00D6362A" w:rsidRDefault="00FE3736" w:rsidP="000777D3">
      <w:pPr>
        <w:ind w:firstLine="0"/>
      </w:pPr>
      <w:r>
        <w:t xml:space="preserve">Two additional markets were tested using the same default model parameters and training period as before to see if the approach could be generalized. Two foreign exchange instruments, the British Pound versus the Japanese Yen and the US Dollar versus the Japanese Yen plus </w:t>
      </w:r>
      <w:r w:rsidR="00FE05B6">
        <w:t>two</w:t>
      </w:r>
      <w:r w:rsidR="008D6DE3">
        <w:t xml:space="preserve"> </w:t>
      </w:r>
      <w:r w:rsidR="00FE05B6">
        <w:t xml:space="preserve">precious metals: spot </w:t>
      </w:r>
      <w:r>
        <w:t xml:space="preserve">Gold and Silver </w:t>
      </w:r>
      <w:r w:rsidR="008D6DE3">
        <w:t xml:space="preserve">prices were </w:t>
      </w:r>
      <w:r w:rsidR="008D6DE3">
        <w:lastRenderedPageBreak/>
        <w:t xml:space="preserve">used. The one day ahead prediction accuracies achieved </w:t>
      </w:r>
      <w:r w:rsidR="007E3177">
        <w:t>were</w:t>
      </w:r>
      <w:r w:rsidR="008D6DE3">
        <w:t xml:space="preserve"> comparable to the results </w:t>
      </w:r>
      <w:r w:rsidR="007E3177">
        <w:t>from</w:t>
      </w:r>
      <w:r w:rsidR="008D6DE3">
        <w:t xml:space="preserve"> the DAX. </w:t>
      </w:r>
    </w:p>
    <w:p w:rsidR="00FE3736" w:rsidRPr="00FE3736" w:rsidRDefault="00FE3736" w:rsidP="000777D3">
      <w:pPr>
        <w:ind w:firstLine="0"/>
        <w:rPr>
          <w:b/>
          <w:sz w:val="24"/>
          <w:szCs w:val="24"/>
        </w:rPr>
      </w:pPr>
    </w:p>
    <w:p w:rsidR="00D6362A" w:rsidRDefault="00D6362A" w:rsidP="0072507E">
      <w:pPr>
        <w:pStyle w:val="Caption"/>
        <w:keepNext/>
        <w:ind w:hanging="142"/>
        <w:jc w:val="center"/>
        <w:rPr>
          <w:b w:val="0"/>
          <w:sz w:val="17"/>
          <w:szCs w:val="17"/>
        </w:rPr>
      </w:pPr>
      <w:r w:rsidRPr="00F932EF">
        <w:rPr>
          <w:b w:val="0"/>
          <w:sz w:val="17"/>
          <w:szCs w:val="17"/>
        </w:rPr>
        <w:t xml:space="preserve">Table </w:t>
      </w:r>
      <w:r w:rsidR="00C97C83">
        <w:rPr>
          <w:b w:val="0"/>
          <w:sz w:val="17"/>
          <w:szCs w:val="17"/>
        </w:rPr>
        <w:t>2</w:t>
      </w:r>
      <w:r>
        <w:rPr>
          <w:b w:val="0"/>
          <w:sz w:val="17"/>
          <w:szCs w:val="17"/>
        </w:rPr>
        <w:t>.  Average one day ahead forecasts accuracy for additional markets for 2011 - 2016</w:t>
      </w:r>
    </w:p>
    <w:p w:rsidR="00D6362A" w:rsidRPr="00F932EF" w:rsidRDefault="00D6362A" w:rsidP="00D6362A"/>
    <w:tbl>
      <w:tblPr>
        <w:tblW w:w="0" w:type="auto"/>
        <w:jc w:val="center"/>
        <w:tblBorders>
          <w:top w:val="single" w:sz="4" w:space="0" w:color="auto"/>
          <w:bottom w:val="single" w:sz="4" w:space="0" w:color="auto"/>
          <w:insideH w:val="single" w:sz="4" w:space="0" w:color="auto"/>
        </w:tblBorders>
        <w:tblCellMar>
          <w:left w:w="72" w:type="dxa"/>
          <w:right w:w="72" w:type="dxa"/>
        </w:tblCellMar>
        <w:tblLook w:val="01E0" w:firstRow="1" w:lastRow="1" w:firstColumn="1" w:lastColumn="1" w:noHBand="0" w:noVBand="0"/>
      </w:tblPr>
      <w:tblGrid>
        <w:gridCol w:w="1119"/>
        <w:gridCol w:w="1095"/>
        <w:gridCol w:w="1108"/>
        <w:gridCol w:w="1108"/>
        <w:gridCol w:w="1108"/>
      </w:tblGrid>
      <w:tr w:rsidR="0079631D" w:rsidRPr="007134C2" w:rsidTr="0079631D">
        <w:trPr>
          <w:jc w:val="center"/>
        </w:trPr>
        <w:tc>
          <w:tcPr>
            <w:tcW w:w="1119" w:type="dxa"/>
          </w:tcPr>
          <w:p w:rsidR="0079631D" w:rsidRPr="000E42AE" w:rsidRDefault="0079631D" w:rsidP="00A6567D">
            <w:pPr>
              <w:ind w:firstLine="0"/>
              <w:jc w:val="center"/>
              <w:rPr>
                <w:b/>
                <w:bCs/>
                <w:sz w:val="17"/>
                <w:szCs w:val="17"/>
              </w:rPr>
            </w:pPr>
            <w:r>
              <w:rPr>
                <w:b/>
                <w:bCs/>
                <w:sz w:val="17"/>
                <w:szCs w:val="17"/>
              </w:rPr>
              <w:t>Instrument</w:t>
            </w:r>
          </w:p>
        </w:tc>
        <w:tc>
          <w:tcPr>
            <w:tcW w:w="1095" w:type="dxa"/>
          </w:tcPr>
          <w:p w:rsidR="0079631D" w:rsidRPr="000E42AE" w:rsidRDefault="0079631D" w:rsidP="00A6567D">
            <w:pPr>
              <w:ind w:firstLine="0"/>
              <w:rPr>
                <w:b/>
                <w:bCs/>
                <w:sz w:val="17"/>
                <w:szCs w:val="17"/>
              </w:rPr>
            </w:pPr>
            <w:r w:rsidRPr="000E42AE">
              <w:rPr>
                <w:b/>
                <w:bCs/>
                <w:sz w:val="17"/>
                <w:szCs w:val="17"/>
              </w:rPr>
              <w:t xml:space="preserve"> Ada</w:t>
            </w:r>
          </w:p>
          <w:p w:rsidR="0079631D" w:rsidRPr="000E42AE" w:rsidRDefault="0079631D" w:rsidP="00A6567D">
            <w:pPr>
              <w:ind w:firstLine="0"/>
              <w:rPr>
                <w:b/>
                <w:bCs/>
                <w:sz w:val="17"/>
                <w:szCs w:val="17"/>
              </w:rPr>
            </w:pPr>
            <w:r w:rsidRPr="000E42AE">
              <w:rPr>
                <w:b/>
                <w:bCs/>
                <w:sz w:val="17"/>
                <w:szCs w:val="17"/>
              </w:rPr>
              <w:t>Boost</w:t>
            </w:r>
          </w:p>
        </w:tc>
        <w:tc>
          <w:tcPr>
            <w:tcW w:w="1108" w:type="dxa"/>
          </w:tcPr>
          <w:p w:rsidR="0079631D" w:rsidRPr="000E42AE" w:rsidRDefault="0079631D" w:rsidP="00A6567D">
            <w:pPr>
              <w:ind w:firstLine="0"/>
              <w:rPr>
                <w:b/>
                <w:bCs/>
                <w:sz w:val="17"/>
                <w:szCs w:val="17"/>
              </w:rPr>
            </w:pPr>
            <w:r w:rsidRPr="000E42AE">
              <w:rPr>
                <w:b/>
                <w:bCs/>
                <w:sz w:val="17"/>
                <w:szCs w:val="17"/>
              </w:rPr>
              <w:t>Support    Vector Machine</w:t>
            </w:r>
          </w:p>
        </w:tc>
        <w:tc>
          <w:tcPr>
            <w:tcW w:w="1108" w:type="dxa"/>
            <w:shd w:val="clear" w:color="auto" w:fill="auto"/>
          </w:tcPr>
          <w:p w:rsidR="0079631D" w:rsidRPr="000E42AE" w:rsidRDefault="0079631D" w:rsidP="00A6567D">
            <w:pPr>
              <w:ind w:firstLine="0"/>
              <w:rPr>
                <w:b/>
                <w:bCs/>
                <w:sz w:val="17"/>
                <w:szCs w:val="17"/>
              </w:rPr>
            </w:pPr>
            <w:r w:rsidRPr="000E42AE">
              <w:rPr>
                <w:b/>
                <w:bCs/>
                <w:sz w:val="17"/>
                <w:szCs w:val="17"/>
              </w:rPr>
              <w:t xml:space="preserve">Random </w:t>
            </w:r>
          </w:p>
          <w:p w:rsidR="0079631D" w:rsidRPr="000E42AE" w:rsidRDefault="0079631D" w:rsidP="00A6567D">
            <w:pPr>
              <w:ind w:firstLine="0"/>
              <w:rPr>
                <w:b/>
                <w:bCs/>
                <w:sz w:val="17"/>
                <w:szCs w:val="17"/>
              </w:rPr>
            </w:pPr>
            <w:r w:rsidRPr="000E42AE">
              <w:rPr>
                <w:b/>
                <w:bCs/>
                <w:sz w:val="17"/>
                <w:szCs w:val="17"/>
              </w:rPr>
              <w:t xml:space="preserve">  Forest</w:t>
            </w:r>
          </w:p>
        </w:tc>
        <w:tc>
          <w:tcPr>
            <w:tcW w:w="1108" w:type="dxa"/>
            <w:shd w:val="clear" w:color="auto" w:fill="auto"/>
          </w:tcPr>
          <w:p w:rsidR="0079631D" w:rsidRPr="000E42AE" w:rsidRDefault="0079631D" w:rsidP="00A6567D">
            <w:pPr>
              <w:ind w:hanging="34"/>
              <w:rPr>
                <w:b/>
                <w:bCs/>
                <w:sz w:val="17"/>
                <w:szCs w:val="17"/>
              </w:rPr>
            </w:pPr>
            <w:r w:rsidRPr="000E42AE">
              <w:rPr>
                <w:b/>
                <w:bCs/>
                <w:sz w:val="17"/>
                <w:szCs w:val="17"/>
              </w:rPr>
              <w:t>Gradient</w:t>
            </w:r>
          </w:p>
          <w:p w:rsidR="0079631D" w:rsidRPr="000E42AE" w:rsidRDefault="0079631D" w:rsidP="00A6567D">
            <w:pPr>
              <w:ind w:hanging="34"/>
              <w:rPr>
                <w:b/>
                <w:bCs/>
                <w:sz w:val="17"/>
                <w:szCs w:val="17"/>
              </w:rPr>
            </w:pPr>
            <w:r w:rsidRPr="000E42AE">
              <w:rPr>
                <w:b/>
                <w:bCs/>
                <w:sz w:val="17"/>
                <w:szCs w:val="17"/>
              </w:rPr>
              <w:t xml:space="preserve">  Boost</w:t>
            </w:r>
          </w:p>
        </w:tc>
      </w:tr>
      <w:tr w:rsidR="0079631D" w:rsidRPr="007134C2" w:rsidTr="0079631D">
        <w:trPr>
          <w:jc w:val="center"/>
        </w:trPr>
        <w:tc>
          <w:tcPr>
            <w:tcW w:w="1119" w:type="dxa"/>
          </w:tcPr>
          <w:p w:rsidR="0079631D" w:rsidRDefault="0079631D" w:rsidP="00A6567D">
            <w:pPr>
              <w:ind w:firstLine="0"/>
              <w:jc w:val="center"/>
              <w:rPr>
                <w:b/>
                <w:sz w:val="17"/>
                <w:szCs w:val="17"/>
              </w:rPr>
            </w:pPr>
          </w:p>
          <w:p w:rsidR="0079631D" w:rsidRPr="000E42AE" w:rsidRDefault="0079631D" w:rsidP="00A6567D">
            <w:pPr>
              <w:ind w:firstLine="0"/>
              <w:jc w:val="center"/>
              <w:rPr>
                <w:b/>
                <w:sz w:val="17"/>
                <w:szCs w:val="17"/>
              </w:rPr>
            </w:pPr>
            <w:r>
              <w:rPr>
                <w:b/>
                <w:sz w:val="17"/>
                <w:szCs w:val="17"/>
              </w:rPr>
              <w:t>GBPUSD</w:t>
            </w:r>
          </w:p>
          <w:p w:rsidR="0079631D" w:rsidRPr="000E42AE" w:rsidRDefault="0079631D" w:rsidP="00A6567D">
            <w:pPr>
              <w:ind w:firstLine="0"/>
              <w:jc w:val="center"/>
              <w:rPr>
                <w:b/>
                <w:sz w:val="17"/>
                <w:szCs w:val="17"/>
              </w:rPr>
            </w:pPr>
            <w:r>
              <w:rPr>
                <w:b/>
                <w:sz w:val="17"/>
                <w:szCs w:val="17"/>
              </w:rPr>
              <w:t>USDJPY</w:t>
            </w:r>
          </w:p>
          <w:p w:rsidR="0079631D" w:rsidRPr="000E42AE" w:rsidRDefault="0079631D" w:rsidP="00A6567D">
            <w:pPr>
              <w:ind w:firstLine="0"/>
              <w:jc w:val="center"/>
              <w:rPr>
                <w:b/>
                <w:sz w:val="17"/>
                <w:szCs w:val="17"/>
              </w:rPr>
            </w:pPr>
            <w:r>
              <w:rPr>
                <w:b/>
                <w:sz w:val="17"/>
                <w:szCs w:val="17"/>
              </w:rPr>
              <w:t>GOLD</w:t>
            </w:r>
          </w:p>
          <w:p w:rsidR="0079631D" w:rsidRPr="000E42AE" w:rsidRDefault="0079631D" w:rsidP="00A6567D">
            <w:pPr>
              <w:ind w:firstLine="0"/>
              <w:jc w:val="center"/>
              <w:rPr>
                <w:b/>
                <w:sz w:val="17"/>
                <w:szCs w:val="17"/>
              </w:rPr>
            </w:pPr>
            <w:r>
              <w:rPr>
                <w:b/>
                <w:sz w:val="17"/>
                <w:szCs w:val="17"/>
              </w:rPr>
              <w:t>SILVER</w:t>
            </w:r>
          </w:p>
          <w:p w:rsidR="0079631D" w:rsidRPr="007134C2" w:rsidRDefault="0079631D" w:rsidP="00A6567D">
            <w:pPr>
              <w:ind w:firstLine="0"/>
              <w:jc w:val="center"/>
              <w:rPr>
                <w:sz w:val="17"/>
                <w:szCs w:val="17"/>
              </w:rPr>
            </w:pPr>
          </w:p>
        </w:tc>
        <w:tc>
          <w:tcPr>
            <w:tcW w:w="1095" w:type="dxa"/>
          </w:tcPr>
          <w:p w:rsidR="0079631D" w:rsidRDefault="0079631D" w:rsidP="00A6567D">
            <w:pPr>
              <w:ind w:firstLine="0"/>
              <w:rPr>
                <w:sz w:val="17"/>
                <w:szCs w:val="17"/>
              </w:rPr>
            </w:pPr>
          </w:p>
          <w:p w:rsidR="0079631D" w:rsidRDefault="0079631D" w:rsidP="00A6567D">
            <w:pPr>
              <w:ind w:firstLine="0"/>
              <w:rPr>
                <w:sz w:val="17"/>
                <w:szCs w:val="17"/>
              </w:rPr>
            </w:pPr>
            <w:r>
              <w:rPr>
                <w:sz w:val="17"/>
                <w:szCs w:val="17"/>
              </w:rPr>
              <w:t>76.53</w:t>
            </w:r>
          </w:p>
          <w:p w:rsidR="0079631D" w:rsidRDefault="0079631D" w:rsidP="00A6567D">
            <w:pPr>
              <w:ind w:firstLine="0"/>
              <w:rPr>
                <w:sz w:val="17"/>
                <w:szCs w:val="17"/>
              </w:rPr>
            </w:pPr>
            <w:r>
              <w:rPr>
                <w:sz w:val="17"/>
                <w:szCs w:val="17"/>
              </w:rPr>
              <w:t>76.44</w:t>
            </w:r>
          </w:p>
          <w:p w:rsidR="0079631D" w:rsidRDefault="0079631D" w:rsidP="00A6567D">
            <w:pPr>
              <w:ind w:firstLine="0"/>
              <w:rPr>
                <w:sz w:val="17"/>
                <w:szCs w:val="17"/>
              </w:rPr>
            </w:pPr>
            <w:r>
              <w:rPr>
                <w:sz w:val="17"/>
                <w:szCs w:val="17"/>
              </w:rPr>
              <w:t>80.91</w:t>
            </w:r>
          </w:p>
          <w:p w:rsidR="0079631D" w:rsidRDefault="0079631D" w:rsidP="00A6567D">
            <w:pPr>
              <w:ind w:firstLine="0"/>
              <w:rPr>
                <w:sz w:val="17"/>
                <w:szCs w:val="17"/>
              </w:rPr>
            </w:pPr>
            <w:r>
              <w:rPr>
                <w:sz w:val="17"/>
                <w:szCs w:val="17"/>
              </w:rPr>
              <w:t>77.82</w:t>
            </w:r>
          </w:p>
          <w:p w:rsidR="0079631D" w:rsidRPr="007134C2" w:rsidRDefault="0079631D" w:rsidP="00A6567D">
            <w:pPr>
              <w:ind w:firstLine="0"/>
              <w:rPr>
                <w:sz w:val="17"/>
                <w:szCs w:val="17"/>
              </w:rPr>
            </w:pPr>
          </w:p>
        </w:tc>
        <w:tc>
          <w:tcPr>
            <w:tcW w:w="1108" w:type="dxa"/>
          </w:tcPr>
          <w:p w:rsidR="0079631D" w:rsidRDefault="0079631D" w:rsidP="00A6567D">
            <w:pPr>
              <w:ind w:firstLine="0"/>
              <w:rPr>
                <w:sz w:val="17"/>
                <w:szCs w:val="17"/>
              </w:rPr>
            </w:pPr>
            <w:r>
              <w:rPr>
                <w:sz w:val="17"/>
                <w:szCs w:val="17"/>
              </w:rPr>
              <w:t xml:space="preserve"> </w:t>
            </w:r>
          </w:p>
          <w:p w:rsidR="0079631D" w:rsidRDefault="0079631D" w:rsidP="00A6567D">
            <w:pPr>
              <w:ind w:firstLine="0"/>
              <w:rPr>
                <w:sz w:val="17"/>
                <w:szCs w:val="17"/>
              </w:rPr>
            </w:pPr>
            <w:r>
              <w:rPr>
                <w:sz w:val="17"/>
                <w:szCs w:val="17"/>
              </w:rPr>
              <w:t xml:space="preserve"> 65.60</w:t>
            </w:r>
          </w:p>
          <w:p w:rsidR="0079631D" w:rsidRDefault="0079631D" w:rsidP="00A6567D">
            <w:pPr>
              <w:ind w:firstLine="0"/>
              <w:rPr>
                <w:sz w:val="17"/>
                <w:szCs w:val="17"/>
              </w:rPr>
            </w:pPr>
            <w:r>
              <w:rPr>
                <w:sz w:val="17"/>
                <w:szCs w:val="17"/>
              </w:rPr>
              <w:t xml:space="preserve"> 68.06</w:t>
            </w:r>
          </w:p>
          <w:p w:rsidR="0079631D" w:rsidRDefault="0079631D" w:rsidP="00A6567D">
            <w:pPr>
              <w:ind w:firstLine="0"/>
              <w:rPr>
                <w:sz w:val="17"/>
                <w:szCs w:val="17"/>
              </w:rPr>
            </w:pPr>
            <w:r>
              <w:rPr>
                <w:sz w:val="17"/>
                <w:szCs w:val="17"/>
              </w:rPr>
              <w:t xml:space="preserve"> 70.19</w:t>
            </w:r>
          </w:p>
          <w:p w:rsidR="0079631D" w:rsidRDefault="0079631D" w:rsidP="00A6567D">
            <w:pPr>
              <w:ind w:firstLine="0"/>
              <w:rPr>
                <w:sz w:val="17"/>
                <w:szCs w:val="17"/>
              </w:rPr>
            </w:pPr>
            <w:r>
              <w:rPr>
                <w:sz w:val="17"/>
                <w:szCs w:val="17"/>
              </w:rPr>
              <w:t xml:space="preserve"> 67.92</w:t>
            </w:r>
          </w:p>
          <w:p w:rsidR="0079631D" w:rsidRPr="007134C2" w:rsidRDefault="0079631D" w:rsidP="00A6567D">
            <w:pPr>
              <w:ind w:firstLine="0"/>
              <w:rPr>
                <w:sz w:val="17"/>
                <w:szCs w:val="17"/>
              </w:rPr>
            </w:pPr>
            <w:r>
              <w:rPr>
                <w:sz w:val="17"/>
                <w:szCs w:val="17"/>
              </w:rPr>
              <w:t xml:space="preserve"> </w:t>
            </w:r>
          </w:p>
        </w:tc>
        <w:tc>
          <w:tcPr>
            <w:tcW w:w="1108" w:type="dxa"/>
            <w:shd w:val="clear" w:color="auto" w:fill="auto"/>
          </w:tcPr>
          <w:p w:rsidR="0079631D" w:rsidRDefault="0079631D" w:rsidP="00A6567D">
            <w:pPr>
              <w:ind w:hanging="6"/>
              <w:rPr>
                <w:bCs/>
                <w:sz w:val="17"/>
                <w:szCs w:val="17"/>
              </w:rPr>
            </w:pPr>
            <w:r>
              <w:rPr>
                <w:bCs/>
                <w:sz w:val="17"/>
                <w:szCs w:val="17"/>
              </w:rPr>
              <w:t xml:space="preserve">  </w:t>
            </w:r>
          </w:p>
          <w:p w:rsidR="0079631D" w:rsidRPr="000E42AE" w:rsidRDefault="0079631D" w:rsidP="00A6567D">
            <w:pPr>
              <w:ind w:hanging="6"/>
              <w:rPr>
                <w:bCs/>
                <w:sz w:val="17"/>
                <w:szCs w:val="17"/>
              </w:rPr>
            </w:pPr>
            <w:r>
              <w:rPr>
                <w:bCs/>
                <w:sz w:val="17"/>
                <w:szCs w:val="17"/>
              </w:rPr>
              <w:t xml:space="preserve">  72.92</w:t>
            </w:r>
          </w:p>
          <w:p w:rsidR="0079631D" w:rsidRPr="000E42AE" w:rsidRDefault="0079631D" w:rsidP="00A6567D">
            <w:pPr>
              <w:ind w:hanging="6"/>
              <w:rPr>
                <w:bCs/>
                <w:sz w:val="17"/>
                <w:szCs w:val="17"/>
              </w:rPr>
            </w:pPr>
            <w:r>
              <w:rPr>
                <w:bCs/>
                <w:sz w:val="17"/>
                <w:szCs w:val="17"/>
              </w:rPr>
              <w:t xml:space="preserve">  74.46</w:t>
            </w:r>
          </w:p>
          <w:p w:rsidR="0079631D" w:rsidRPr="000E42AE" w:rsidRDefault="0079631D" w:rsidP="00A6567D">
            <w:pPr>
              <w:ind w:hanging="6"/>
              <w:rPr>
                <w:bCs/>
                <w:sz w:val="17"/>
                <w:szCs w:val="17"/>
              </w:rPr>
            </w:pPr>
            <w:r>
              <w:rPr>
                <w:bCs/>
                <w:sz w:val="17"/>
                <w:szCs w:val="17"/>
              </w:rPr>
              <w:t xml:space="preserve">  75.32</w:t>
            </w:r>
          </w:p>
          <w:p w:rsidR="0079631D" w:rsidRPr="000E42AE" w:rsidRDefault="0079631D" w:rsidP="00A6567D">
            <w:pPr>
              <w:ind w:hanging="6"/>
              <w:rPr>
                <w:bCs/>
                <w:sz w:val="17"/>
                <w:szCs w:val="17"/>
              </w:rPr>
            </w:pPr>
            <w:r>
              <w:rPr>
                <w:bCs/>
                <w:sz w:val="17"/>
                <w:szCs w:val="17"/>
              </w:rPr>
              <w:t xml:space="preserve">  72.97</w:t>
            </w:r>
          </w:p>
          <w:p w:rsidR="0079631D" w:rsidRPr="007134C2" w:rsidRDefault="0079631D" w:rsidP="00A6567D">
            <w:pPr>
              <w:ind w:hanging="6"/>
              <w:rPr>
                <w:b/>
                <w:bCs/>
                <w:sz w:val="17"/>
                <w:szCs w:val="17"/>
              </w:rPr>
            </w:pPr>
            <w:r>
              <w:rPr>
                <w:bCs/>
                <w:sz w:val="17"/>
                <w:szCs w:val="17"/>
              </w:rPr>
              <w:t xml:space="preserve">  </w:t>
            </w:r>
          </w:p>
        </w:tc>
        <w:tc>
          <w:tcPr>
            <w:tcW w:w="1108" w:type="dxa"/>
            <w:shd w:val="clear" w:color="auto" w:fill="auto"/>
            <w:vAlign w:val="center"/>
          </w:tcPr>
          <w:p w:rsidR="0079631D" w:rsidRDefault="0079631D" w:rsidP="00A6567D">
            <w:pPr>
              <w:ind w:hanging="10"/>
              <w:rPr>
                <w:sz w:val="17"/>
                <w:szCs w:val="17"/>
              </w:rPr>
            </w:pPr>
          </w:p>
          <w:p w:rsidR="0079631D" w:rsidRDefault="0079631D" w:rsidP="00A6567D">
            <w:pPr>
              <w:ind w:hanging="10"/>
              <w:rPr>
                <w:sz w:val="17"/>
                <w:szCs w:val="17"/>
              </w:rPr>
            </w:pPr>
            <w:r>
              <w:rPr>
                <w:sz w:val="17"/>
                <w:szCs w:val="17"/>
              </w:rPr>
              <w:t>78.15</w:t>
            </w:r>
          </w:p>
          <w:p w:rsidR="0079631D" w:rsidRDefault="0079631D" w:rsidP="00A6567D">
            <w:pPr>
              <w:ind w:hanging="10"/>
              <w:rPr>
                <w:sz w:val="17"/>
                <w:szCs w:val="17"/>
              </w:rPr>
            </w:pPr>
            <w:r>
              <w:rPr>
                <w:sz w:val="17"/>
                <w:szCs w:val="17"/>
              </w:rPr>
              <w:t>78.03</w:t>
            </w:r>
          </w:p>
          <w:p w:rsidR="0079631D" w:rsidRDefault="0079631D" w:rsidP="00A6567D">
            <w:pPr>
              <w:ind w:hanging="10"/>
              <w:rPr>
                <w:sz w:val="17"/>
                <w:szCs w:val="17"/>
              </w:rPr>
            </w:pPr>
            <w:r>
              <w:rPr>
                <w:sz w:val="17"/>
                <w:szCs w:val="17"/>
              </w:rPr>
              <w:t>78.32</w:t>
            </w:r>
          </w:p>
          <w:p w:rsidR="0079631D" w:rsidRDefault="0079631D" w:rsidP="00A6567D">
            <w:pPr>
              <w:ind w:hanging="10"/>
              <w:rPr>
                <w:sz w:val="17"/>
                <w:szCs w:val="17"/>
              </w:rPr>
            </w:pPr>
            <w:r>
              <w:rPr>
                <w:sz w:val="17"/>
                <w:szCs w:val="17"/>
              </w:rPr>
              <w:t>83.88</w:t>
            </w:r>
          </w:p>
          <w:p w:rsidR="0079631D" w:rsidRPr="007134C2" w:rsidRDefault="0079631D" w:rsidP="00A6567D">
            <w:pPr>
              <w:ind w:firstLine="0"/>
              <w:rPr>
                <w:sz w:val="17"/>
                <w:szCs w:val="17"/>
              </w:rPr>
            </w:pPr>
          </w:p>
        </w:tc>
      </w:tr>
      <w:tr w:rsidR="0079631D" w:rsidRPr="007134C2" w:rsidTr="0079631D">
        <w:trPr>
          <w:jc w:val="center"/>
        </w:trPr>
        <w:tc>
          <w:tcPr>
            <w:tcW w:w="1119" w:type="dxa"/>
          </w:tcPr>
          <w:p w:rsidR="0079631D" w:rsidRDefault="0079631D" w:rsidP="00A6567D">
            <w:pPr>
              <w:ind w:firstLine="0"/>
              <w:jc w:val="center"/>
              <w:rPr>
                <w:b/>
                <w:sz w:val="17"/>
                <w:szCs w:val="17"/>
              </w:rPr>
            </w:pPr>
          </w:p>
          <w:p w:rsidR="0079631D" w:rsidRDefault="0079631D" w:rsidP="00A6567D">
            <w:pPr>
              <w:ind w:firstLine="0"/>
              <w:jc w:val="center"/>
              <w:rPr>
                <w:b/>
                <w:sz w:val="17"/>
                <w:szCs w:val="17"/>
              </w:rPr>
            </w:pPr>
            <w:r>
              <w:rPr>
                <w:b/>
                <w:sz w:val="17"/>
                <w:szCs w:val="17"/>
              </w:rPr>
              <w:t>Average</w:t>
            </w:r>
          </w:p>
          <w:p w:rsidR="0079631D" w:rsidRDefault="0079631D" w:rsidP="00A6567D">
            <w:pPr>
              <w:ind w:firstLine="0"/>
              <w:jc w:val="center"/>
              <w:rPr>
                <w:b/>
                <w:sz w:val="17"/>
                <w:szCs w:val="17"/>
              </w:rPr>
            </w:pPr>
          </w:p>
        </w:tc>
        <w:tc>
          <w:tcPr>
            <w:tcW w:w="1095" w:type="dxa"/>
          </w:tcPr>
          <w:p w:rsidR="0079631D" w:rsidRDefault="0079631D" w:rsidP="00A6567D">
            <w:pPr>
              <w:ind w:firstLine="0"/>
              <w:rPr>
                <w:sz w:val="17"/>
                <w:szCs w:val="17"/>
              </w:rPr>
            </w:pPr>
          </w:p>
          <w:p w:rsidR="0079631D" w:rsidRDefault="0079631D" w:rsidP="00A6567D">
            <w:pPr>
              <w:ind w:firstLine="0"/>
              <w:rPr>
                <w:sz w:val="17"/>
                <w:szCs w:val="17"/>
              </w:rPr>
            </w:pPr>
            <w:r>
              <w:rPr>
                <w:sz w:val="17"/>
                <w:szCs w:val="17"/>
              </w:rPr>
              <w:t>77.92</w:t>
            </w:r>
          </w:p>
        </w:tc>
        <w:tc>
          <w:tcPr>
            <w:tcW w:w="1108" w:type="dxa"/>
          </w:tcPr>
          <w:p w:rsidR="0079631D" w:rsidRDefault="0079631D" w:rsidP="00A6567D">
            <w:pPr>
              <w:ind w:firstLine="0"/>
              <w:rPr>
                <w:sz w:val="17"/>
                <w:szCs w:val="17"/>
              </w:rPr>
            </w:pPr>
          </w:p>
          <w:p w:rsidR="0079631D" w:rsidRDefault="0079631D" w:rsidP="00A6567D">
            <w:pPr>
              <w:ind w:firstLine="0"/>
              <w:rPr>
                <w:sz w:val="17"/>
                <w:szCs w:val="17"/>
              </w:rPr>
            </w:pPr>
            <w:r>
              <w:rPr>
                <w:sz w:val="17"/>
                <w:szCs w:val="17"/>
              </w:rPr>
              <w:t>65.94</w:t>
            </w:r>
          </w:p>
        </w:tc>
        <w:tc>
          <w:tcPr>
            <w:tcW w:w="1108" w:type="dxa"/>
            <w:shd w:val="clear" w:color="auto" w:fill="auto"/>
          </w:tcPr>
          <w:p w:rsidR="0079631D" w:rsidRDefault="0079631D" w:rsidP="00A6567D">
            <w:pPr>
              <w:ind w:hanging="6"/>
              <w:rPr>
                <w:bCs/>
                <w:sz w:val="17"/>
                <w:szCs w:val="17"/>
              </w:rPr>
            </w:pPr>
          </w:p>
          <w:p w:rsidR="0079631D" w:rsidRDefault="0079631D" w:rsidP="00A6567D">
            <w:pPr>
              <w:ind w:hanging="6"/>
              <w:rPr>
                <w:bCs/>
                <w:sz w:val="17"/>
                <w:szCs w:val="17"/>
              </w:rPr>
            </w:pPr>
            <w:r>
              <w:rPr>
                <w:bCs/>
                <w:sz w:val="17"/>
                <w:szCs w:val="17"/>
              </w:rPr>
              <w:t>73.92</w:t>
            </w:r>
          </w:p>
        </w:tc>
        <w:tc>
          <w:tcPr>
            <w:tcW w:w="1108" w:type="dxa"/>
            <w:shd w:val="clear" w:color="auto" w:fill="auto"/>
            <w:vAlign w:val="center"/>
          </w:tcPr>
          <w:p w:rsidR="0079631D" w:rsidRDefault="0079631D" w:rsidP="00A6567D">
            <w:pPr>
              <w:ind w:hanging="10"/>
              <w:rPr>
                <w:sz w:val="17"/>
                <w:szCs w:val="17"/>
              </w:rPr>
            </w:pPr>
            <w:r>
              <w:rPr>
                <w:sz w:val="17"/>
                <w:szCs w:val="17"/>
              </w:rPr>
              <w:t>79.59</w:t>
            </w:r>
          </w:p>
        </w:tc>
      </w:tr>
    </w:tbl>
    <w:p w:rsidR="00CF22F3" w:rsidRDefault="00CF22F3" w:rsidP="000777D3">
      <w:pPr>
        <w:ind w:firstLine="0"/>
        <w:rPr>
          <w:b/>
          <w:i/>
          <w:sz w:val="24"/>
          <w:szCs w:val="24"/>
        </w:rPr>
      </w:pPr>
    </w:p>
    <w:p w:rsidR="00CF22F3" w:rsidRDefault="00CF22F3" w:rsidP="000777D3">
      <w:pPr>
        <w:ind w:firstLine="0"/>
        <w:rPr>
          <w:b/>
          <w:i/>
          <w:sz w:val="24"/>
          <w:szCs w:val="24"/>
        </w:rPr>
      </w:pPr>
    </w:p>
    <w:p w:rsidR="00CF22F3" w:rsidRDefault="00CF22F3" w:rsidP="000777D3">
      <w:pPr>
        <w:ind w:firstLine="0"/>
        <w:rPr>
          <w:b/>
          <w:i/>
          <w:sz w:val="24"/>
          <w:szCs w:val="24"/>
        </w:rPr>
      </w:pPr>
    </w:p>
    <w:p w:rsidR="000777D3" w:rsidRDefault="000777D3" w:rsidP="000777D3">
      <w:pPr>
        <w:ind w:firstLine="0"/>
        <w:rPr>
          <w:b/>
          <w:i/>
          <w:sz w:val="24"/>
          <w:szCs w:val="24"/>
        </w:rPr>
      </w:pPr>
      <w:r>
        <w:rPr>
          <w:b/>
          <w:i/>
          <w:sz w:val="24"/>
          <w:szCs w:val="24"/>
        </w:rPr>
        <w:t>4.3 Interpretation</w:t>
      </w:r>
    </w:p>
    <w:p w:rsidR="000777D3" w:rsidRDefault="00082D99" w:rsidP="00CF22F3">
      <w:pPr>
        <w:pStyle w:val="p1a"/>
      </w:pPr>
      <w:r>
        <w:t>The AdaBoost model is the clear winner f</w:t>
      </w:r>
      <w:r w:rsidR="005740FB">
        <w:t>r</w:t>
      </w:r>
      <w:r>
        <w:t>om</w:t>
      </w:r>
      <w:r w:rsidR="005740FB">
        <w:t xml:space="preserve"> the 2016 prediction results </w:t>
      </w:r>
      <w:r>
        <w:t xml:space="preserve">shown in Figure 3. There is very little to separate the remaining </w:t>
      </w:r>
      <w:r w:rsidR="0079631D">
        <w:t>three</w:t>
      </w:r>
      <w:r>
        <w:t xml:space="preserve"> models results. The </w:t>
      </w:r>
      <w:r w:rsidR="0079631D">
        <w:t>Gradient Boosting</w:t>
      </w:r>
      <w:r>
        <w:t xml:space="preserve"> just about performs better than the other </w:t>
      </w:r>
      <w:r w:rsidR="0079631D">
        <w:t>two</w:t>
      </w:r>
      <w:r>
        <w:t xml:space="preserve"> when we consider all of the forecast horizons.</w:t>
      </w:r>
      <w:r w:rsidR="00CF72F1">
        <w:t xml:space="preserve"> All models show one or more peaks in accuracy after the first day e.g. between day 7 and 9 all models bar AdaBoost show a new peak.</w:t>
      </w:r>
    </w:p>
    <w:p w:rsidR="00DB5E74" w:rsidRDefault="00DB5E74" w:rsidP="000777D3">
      <w:pPr>
        <w:ind w:firstLine="0"/>
      </w:pPr>
    </w:p>
    <w:p w:rsidR="00DB5E74" w:rsidRPr="000777D3" w:rsidRDefault="00DB5E74" w:rsidP="000777D3">
      <w:pPr>
        <w:ind w:firstLine="0"/>
        <w:rPr>
          <w:b/>
          <w:i/>
          <w:sz w:val="24"/>
          <w:szCs w:val="24"/>
        </w:rPr>
      </w:pPr>
      <w:r>
        <w:t xml:space="preserve">The AdaBoost model performs </w:t>
      </w:r>
      <w:r w:rsidR="00D81D2F">
        <w:t xml:space="preserve">significantly </w:t>
      </w:r>
      <w:r>
        <w:t>better than the rest when we look at the 5 and 10 day ah</w:t>
      </w:r>
      <w:r w:rsidR="00D81D2F">
        <w:t>ead forecast prediction accuracies</w:t>
      </w:r>
      <w:r>
        <w:t>.</w:t>
      </w:r>
      <w:r w:rsidR="00D81D2F">
        <w:t xml:space="preserve"> </w:t>
      </w:r>
      <w:r w:rsidR="00FE05B6">
        <w:t>The</w:t>
      </w:r>
      <w:r w:rsidR="00D81D2F">
        <w:t xml:space="preserve"> accuracy drops below 80% for the first time at day 8.</w:t>
      </w:r>
      <w:r>
        <w:t xml:space="preserve"> </w:t>
      </w:r>
    </w:p>
    <w:p w:rsidR="00CF22F3" w:rsidRDefault="00CF22F3" w:rsidP="00CF22F3">
      <w:pPr>
        <w:ind w:firstLine="0"/>
      </w:pPr>
    </w:p>
    <w:p w:rsidR="00CF22F3" w:rsidRDefault="00CF22F3" w:rsidP="00CF22F3">
      <w:pPr>
        <w:ind w:firstLine="0"/>
      </w:pPr>
      <w:r>
        <w:t xml:space="preserve">Running the models on different markets produced comparable results. When we average the one day ahead prediction accuracies on the four new markets shown in Table 2. we see that the AdaBoost model comes in </w:t>
      </w:r>
      <w:r w:rsidR="009C16B2">
        <w:t>second</w:t>
      </w:r>
      <w:r>
        <w:t xml:space="preserve"> behind Gradient Boosting. Both of these models showed similarly strong one day ahead figures for the DAX test. However, the fact that the overall results are similar provides confidence that the approach can be generalised to other markets.</w:t>
      </w:r>
    </w:p>
    <w:p w:rsidR="00CF22F3" w:rsidRPr="00CF22F3" w:rsidRDefault="00CF22F3" w:rsidP="00CF22F3">
      <w:pPr>
        <w:ind w:firstLine="0"/>
      </w:pPr>
      <w:r>
        <w:t xml:space="preserve"> </w:t>
      </w:r>
    </w:p>
    <w:p w:rsidR="00E92617" w:rsidRPr="007134C2" w:rsidRDefault="00E92617" w:rsidP="00E92617">
      <w:pPr>
        <w:pStyle w:val="p1a"/>
      </w:pPr>
    </w:p>
    <w:p w:rsidR="009C16B2" w:rsidRDefault="00E92617" w:rsidP="009C16B2">
      <w:pPr>
        <w:pStyle w:val="p1a"/>
        <w:rPr>
          <w:b/>
          <w:sz w:val="24"/>
          <w:szCs w:val="24"/>
        </w:rPr>
      </w:pPr>
      <w:r w:rsidRPr="007134C2">
        <w:rPr>
          <w:b/>
          <w:sz w:val="24"/>
          <w:szCs w:val="24"/>
        </w:rPr>
        <w:t>5</w:t>
      </w:r>
      <w:r w:rsidR="00375E67" w:rsidRPr="007134C2">
        <w:rPr>
          <w:b/>
          <w:sz w:val="24"/>
          <w:szCs w:val="24"/>
        </w:rPr>
        <w:t>.</w:t>
      </w:r>
      <w:r w:rsidRPr="007134C2">
        <w:rPr>
          <w:b/>
          <w:sz w:val="24"/>
          <w:szCs w:val="24"/>
        </w:rPr>
        <w:t xml:space="preserve"> Conclusion</w:t>
      </w:r>
      <w:r w:rsidR="000777D3">
        <w:rPr>
          <w:b/>
          <w:sz w:val="24"/>
          <w:szCs w:val="24"/>
        </w:rPr>
        <w:t>s</w:t>
      </w:r>
      <w:r w:rsidRPr="007134C2">
        <w:rPr>
          <w:b/>
          <w:sz w:val="24"/>
          <w:szCs w:val="24"/>
        </w:rPr>
        <w:t xml:space="preserve"> and Future Work</w:t>
      </w:r>
    </w:p>
    <w:p w:rsidR="0023772C" w:rsidRDefault="009C16B2" w:rsidP="00F72AC0">
      <w:pPr>
        <w:pStyle w:val="p1a"/>
      </w:pPr>
      <w:r>
        <w:t xml:space="preserve">Tradable predictions for the direction of the DAX closing price </w:t>
      </w:r>
      <w:r w:rsidR="0023772C">
        <w:t>from</w:t>
      </w:r>
      <w:r>
        <w:t xml:space="preserve"> one to ten days into the future have been produced using the AdaBoost model. Prediction accuracies of 80% </w:t>
      </w:r>
      <w:r w:rsidR="0023772C">
        <w:t xml:space="preserve">were achieved up to 7 days out from the end of the training period. Test </w:t>
      </w:r>
      <w:r w:rsidR="0023772C">
        <w:lastRenderedPageBreak/>
        <w:t>results for 2016 show that AdaBoost outperformed SVC, RandomForest and Gradient Boosting.</w:t>
      </w:r>
      <w:r w:rsidR="00F72AC0">
        <w:t xml:space="preserve"> </w:t>
      </w:r>
      <w:r w:rsidR="0023772C">
        <w:t>Similar results were obtained for one day ahead predictions for GBPUSD, USDJPY, Gold and Silver price data.</w:t>
      </w:r>
    </w:p>
    <w:p w:rsidR="00FE05B6" w:rsidRPr="00FE05B6" w:rsidRDefault="00FE05B6" w:rsidP="00FE05B6"/>
    <w:p w:rsidR="00D16252" w:rsidRDefault="004A67B5" w:rsidP="00D16252">
      <w:pPr>
        <w:ind w:firstLine="0"/>
      </w:pPr>
      <w:r>
        <w:t>Future work on this topic could include:</w:t>
      </w:r>
    </w:p>
    <w:p w:rsidR="004A67B5" w:rsidRDefault="004A67B5" w:rsidP="00D16252">
      <w:pPr>
        <w:ind w:firstLine="0"/>
      </w:pPr>
    </w:p>
    <w:p w:rsidR="004A67B5" w:rsidRDefault="004A67B5" w:rsidP="004A67B5">
      <w:pPr>
        <w:pStyle w:val="ListParagraph"/>
        <w:numPr>
          <w:ilvl w:val="0"/>
          <w:numId w:val="27"/>
        </w:numPr>
      </w:pPr>
      <w:r>
        <w:t>Looking at predicting closing price</w:t>
      </w:r>
      <w:r w:rsidR="0072507E">
        <w:t xml:space="preserve"> direction</w:t>
      </w:r>
      <w:r>
        <w:t xml:space="preserve"> for a lower timeframe e.g. four or one hour intraday closing price.</w:t>
      </w:r>
    </w:p>
    <w:p w:rsidR="0072507E" w:rsidRDefault="0072507E" w:rsidP="0072507E">
      <w:pPr>
        <w:pStyle w:val="ListParagraph"/>
        <w:ind w:firstLine="0"/>
      </w:pPr>
    </w:p>
    <w:p w:rsidR="004A67B5" w:rsidRDefault="004A67B5" w:rsidP="004A67B5">
      <w:pPr>
        <w:pStyle w:val="ListParagraph"/>
        <w:numPr>
          <w:ilvl w:val="0"/>
          <w:numId w:val="27"/>
        </w:numPr>
      </w:pPr>
      <w:r>
        <w:t xml:space="preserve">Investigating viability of using regression </w:t>
      </w:r>
      <w:r w:rsidR="000B159B">
        <w:t xml:space="preserve">models </w:t>
      </w:r>
      <w:r>
        <w:t>to predict future daily closing price</w:t>
      </w:r>
      <w:r w:rsidR="0072507E">
        <w:t>.</w:t>
      </w:r>
    </w:p>
    <w:p w:rsidR="0072507E" w:rsidRDefault="0072507E" w:rsidP="0072507E">
      <w:pPr>
        <w:pStyle w:val="ListParagraph"/>
      </w:pPr>
    </w:p>
    <w:p w:rsidR="0072507E" w:rsidRDefault="004D4BF3" w:rsidP="004A67B5">
      <w:pPr>
        <w:pStyle w:val="ListParagraph"/>
        <w:numPr>
          <w:ilvl w:val="0"/>
          <w:numId w:val="27"/>
        </w:numPr>
      </w:pPr>
      <w:r>
        <w:t>Investigate using Extreme Gradient Boosting</w:t>
      </w:r>
      <w:r w:rsidR="006125A7">
        <w:t xml:space="preserve"> </w:t>
      </w:r>
      <w:r>
        <w:t xml:space="preserve">– </w:t>
      </w:r>
      <w:r w:rsidR="00A44442">
        <w:t>a new evolution of gradient boosted decision trees designed for speed and performance.</w:t>
      </w:r>
      <w:r w:rsidR="00292902">
        <w:t xml:space="preserve"> It could be applied to either the classification or regression of closing price.</w:t>
      </w:r>
    </w:p>
    <w:p w:rsidR="00FE05B6" w:rsidRDefault="00FE05B6" w:rsidP="00FE05B6">
      <w:pPr>
        <w:pStyle w:val="ListParagraph"/>
      </w:pPr>
    </w:p>
    <w:p w:rsidR="00FE05B6" w:rsidRDefault="00FE05B6" w:rsidP="00FE05B6">
      <w:pPr>
        <w:pStyle w:val="ListParagraph"/>
        <w:ind w:firstLine="0"/>
      </w:pPr>
    </w:p>
    <w:p w:rsidR="00320C84" w:rsidRDefault="00FE05B6" w:rsidP="00FE05B6">
      <w:pPr>
        <w:pStyle w:val="heading10"/>
        <w:spacing w:before="0" w:after="0"/>
        <w:rPr>
          <w:szCs w:val="24"/>
        </w:rPr>
      </w:pPr>
      <w:r>
        <w:rPr>
          <w:szCs w:val="24"/>
        </w:rPr>
        <w:t>R</w:t>
      </w:r>
      <w:r w:rsidR="00320C84" w:rsidRPr="007134C2">
        <w:rPr>
          <w:szCs w:val="24"/>
        </w:rPr>
        <w:t>eferences</w:t>
      </w:r>
      <w:r w:rsidR="002364CB" w:rsidRPr="007134C2">
        <w:rPr>
          <w:szCs w:val="24"/>
        </w:rPr>
        <w:t xml:space="preserve"> </w:t>
      </w:r>
    </w:p>
    <w:p w:rsidR="00FE05B6" w:rsidRPr="00FE05B6" w:rsidRDefault="00FE05B6" w:rsidP="00FE05B6">
      <w:pPr>
        <w:pStyle w:val="p1a"/>
      </w:pPr>
    </w:p>
    <w:p w:rsidR="00B9257D" w:rsidRPr="00B9257D" w:rsidRDefault="007240B2" w:rsidP="00FE05B6">
      <w:pPr>
        <w:widowControl w:val="0"/>
        <w:ind w:left="640" w:hanging="640"/>
        <w:rPr>
          <w:rFonts w:cs="Times"/>
          <w:noProof/>
          <w:szCs w:val="24"/>
        </w:rPr>
      </w:pPr>
      <w:r>
        <w:fldChar w:fldCharType="begin" w:fldLock="1"/>
      </w:r>
      <w:r>
        <w:instrText xml:space="preserve">ADDIN Mendeley Bibliography CSL_BIBLIOGRAPHY </w:instrText>
      </w:r>
      <w:r>
        <w:fldChar w:fldCharType="separate"/>
      </w:r>
      <w:r w:rsidR="00B9257D" w:rsidRPr="00B9257D">
        <w:rPr>
          <w:rFonts w:cs="Times"/>
          <w:noProof/>
          <w:szCs w:val="24"/>
        </w:rPr>
        <w:t>[1]</w:t>
      </w:r>
      <w:r w:rsidR="00B9257D" w:rsidRPr="00B9257D">
        <w:rPr>
          <w:rFonts w:cs="Times"/>
          <w:noProof/>
          <w:szCs w:val="24"/>
        </w:rPr>
        <w:tab/>
        <w:t xml:space="preserve">Y. Freund and R. Schapire, “A desicion-theoretic generalization of on-line learning and an application to boosting,” </w:t>
      </w:r>
      <w:r w:rsidR="00B9257D" w:rsidRPr="00B9257D">
        <w:rPr>
          <w:rFonts w:cs="Times"/>
          <w:i/>
          <w:iCs/>
          <w:noProof/>
          <w:szCs w:val="24"/>
        </w:rPr>
        <w:t>Comput. Learn. theory</w:t>
      </w:r>
      <w:r w:rsidR="00B9257D" w:rsidRPr="00B9257D">
        <w:rPr>
          <w:rFonts w:cs="Times"/>
          <w:noProof/>
          <w:szCs w:val="24"/>
        </w:rPr>
        <w:t>, vol. 55, pp. 119–139, 1995.</w:t>
      </w:r>
    </w:p>
    <w:p w:rsidR="00B9257D" w:rsidRPr="00B9257D" w:rsidRDefault="00B9257D" w:rsidP="00FE05B6">
      <w:pPr>
        <w:widowControl w:val="0"/>
        <w:ind w:left="640" w:hanging="640"/>
        <w:rPr>
          <w:rFonts w:cs="Times"/>
          <w:noProof/>
          <w:szCs w:val="24"/>
        </w:rPr>
      </w:pPr>
      <w:r w:rsidRPr="00B9257D">
        <w:rPr>
          <w:rFonts w:cs="Times"/>
          <w:noProof/>
          <w:szCs w:val="24"/>
        </w:rPr>
        <w:t>[2]</w:t>
      </w:r>
      <w:r w:rsidRPr="00B9257D">
        <w:rPr>
          <w:rFonts w:cs="Times"/>
          <w:noProof/>
          <w:szCs w:val="24"/>
        </w:rPr>
        <w:tab/>
        <w:t xml:space="preserve">B. E. Boser, I. M. Guyon, and V. N. Vapnik, “A Training Algorithm for Optimal Margin Classiiers,” </w:t>
      </w:r>
      <w:r w:rsidRPr="00B9257D">
        <w:rPr>
          <w:rFonts w:cs="Times"/>
          <w:i/>
          <w:iCs/>
          <w:noProof/>
          <w:szCs w:val="24"/>
        </w:rPr>
        <w:t>Proc. fifth Annu. Work. Comput. Learn. theory</w:t>
      </w:r>
      <w:r w:rsidRPr="00B9257D">
        <w:rPr>
          <w:rFonts w:cs="Times"/>
          <w:noProof/>
          <w:szCs w:val="24"/>
        </w:rPr>
        <w:t>, pp. 144–152, 1992.</w:t>
      </w:r>
    </w:p>
    <w:p w:rsidR="00B9257D" w:rsidRPr="00B9257D" w:rsidRDefault="00B9257D" w:rsidP="00FE05B6">
      <w:pPr>
        <w:widowControl w:val="0"/>
        <w:ind w:left="640" w:hanging="640"/>
        <w:rPr>
          <w:rFonts w:cs="Times"/>
          <w:noProof/>
          <w:szCs w:val="24"/>
        </w:rPr>
      </w:pPr>
      <w:r w:rsidRPr="00B9257D">
        <w:rPr>
          <w:rFonts w:cs="Times"/>
          <w:noProof/>
          <w:szCs w:val="24"/>
        </w:rPr>
        <w:t>[3]</w:t>
      </w:r>
      <w:r w:rsidRPr="00B9257D">
        <w:rPr>
          <w:rFonts w:cs="Times"/>
          <w:noProof/>
          <w:szCs w:val="24"/>
        </w:rPr>
        <w:tab/>
        <w:t xml:space="preserve">L. Breiman, “Random forests,” </w:t>
      </w:r>
      <w:r w:rsidRPr="00B9257D">
        <w:rPr>
          <w:rFonts w:cs="Times"/>
          <w:i/>
          <w:iCs/>
          <w:noProof/>
          <w:szCs w:val="24"/>
        </w:rPr>
        <w:t>Mach. Learn.</w:t>
      </w:r>
      <w:r w:rsidRPr="00B9257D">
        <w:rPr>
          <w:rFonts w:cs="Times"/>
          <w:noProof/>
          <w:szCs w:val="24"/>
        </w:rPr>
        <w:t>, vol. 45, no. 1, pp. 5–32, 2001.</w:t>
      </w:r>
    </w:p>
    <w:p w:rsidR="00B9257D" w:rsidRPr="00B9257D" w:rsidRDefault="00B9257D" w:rsidP="00FE05B6">
      <w:pPr>
        <w:widowControl w:val="0"/>
        <w:ind w:left="640" w:hanging="640"/>
        <w:rPr>
          <w:rFonts w:cs="Times"/>
          <w:noProof/>
          <w:szCs w:val="24"/>
        </w:rPr>
      </w:pPr>
      <w:r w:rsidRPr="00B9257D">
        <w:rPr>
          <w:rFonts w:cs="Times"/>
          <w:noProof/>
          <w:szCs w:val="24"/>
        </w:rPr>
        <w:t>[4]</w:t>
      </w:r>
      <w:r w:rsidRPr="00B9257D">
        <w:rPr>
          <w:rFonts w:cs="Times"/>
          <w:noProof/>
          <w:szCs w:val="24"/>
        </w:rPr>
        <w:tab/>
        <w:t xml:space="preserve">J. H. Friedman, “Greedy function machine: A gr,” </w:t>
      </w:r>
      <w:r w:rsidRPr="00B9257D">
        <w:rPr>
          <w:rFonts w:cs="Times"/>
          <w:i/>
          <w:iCs/>
          <w:noProof/>
          <w:szCs w:val="24"/>
        </w:rPr>
        <w:t>Statistics (Ber).</w:t>
      </w:r>
      <w:r w:rsidRPr="00B9257D">
        <w:rPr>
          <w:rFonts w:cs="Times"/>
          <w:noProof/>
          <w:szCs w:val="24"/>
        </w:rPr>
        <w:t>, vol. 29, no. 5, pp. 1189–1232, 2011.</w:t>
      </w:r>
    </w:p>
    <w:p w:rsidR="00B9257D" w:rsidRPr="00B9257D" w:rsidRDefault="00B9257D" w:rsidP="00FE05B6">
      <w:pPr>
        <w:widowControl w:val="0"/>
        <w:ind w:left="640" w:hanging="640"/>
        <w:rPr>
          <w:rFonts w:cs="Times"/>
          <w:noProof/>
          <w:szCs w:val="24"/>
        </w:rPr>
      </w:pPr>
      <w:r w:rsidRPr="00B9257D">
        <w:rPr>
          <w:rFonts w:cs="Times"/>
          <w:noProof/>
          <w:szCs w:val="24"/>
        </w:rPr>
        <w:t>[5]</w:t>
      </w:r>
      <w:r w:rsidRPr="00B9257D">
        <w:rPr>
          <w:rFonts w:cs="Times"/>
          <w:noProof/>
          <w:szCs w:val="24"/>
        </w:rPr>
        <w:tab/>
        <w:t xml:space="preserve">M. Ballings, D. Van Den Poel, N. Hespeels, and R. Gryp, “Evaluating multiple classifiers for stock price direction prediction,” </w:t>
      </w:r>
      <w:r w:rsidRPr="00B9257D">
        <w:rPr>
          <w:rFonts w:cs="Times"/>
          <w:i/>
          <w:iCs/>
          <w:noProof/>
          <w:szCs w:val="24"/>
        </w:rPr>
        <w:t>Expert Syst. Appl.</w:t>
      </w:r>
      <w:r w:rsidRPr="00B9257D">
        <w:rPr>
          <w:rFonts w:cs="Times"/>
          <w:noProof/>
          <w:szCs w:val="24"/>
        </w:rPr>
        <w:t>, vol. 42, no. 20, pp. 7046–7056, 2015.</w:t>
      </w:r>
    </w:p>
    <w:p w:rsidR="00B9257D" w:rsidRPr="00B9257D" w:rsidRDefault="00B9257D" w:rsidP="00FE05B6">
      <w:pPr>
        <w:widowControl w:val="0"/>
        <w:ind w:left="640" w:hanging="640"/>
        <w:rPr>
          <w:rFonts w:cs="Times"/>
          <w:noProof/>
          <w:szCs w:val="24"/>
        </w:rPr>
      </w:pPr>
      <w:r w:rsidRPr="00B9257D">
        <w:rPr>
          <w:rFonts w:cs="Times"/>
          <w:noProof/>
          <w:szCs w:val="24"/>
        </w:rPr>
        <w:t>[6]</w:t>
      </w:r>
      <w:r w:rsidRPr="00B9257D">
        <w:rPr>
          <w:rFonts w:cs="Times"/>
          <w:noProof/>
          <w:szCs w:val="24"/>
        </w:rPr>
        <w:tab/>
        <w:t>S. Yutong and H. Zhao, “Stock Selection Model Based on Advanced AdaBoost Algorithm,” no. Icmic, pp. 1–7, 2015.</w:t>
      </w:r>
    </w:p>
    <w:p w:rsidR="00B9257D" w:rsidRPr="00B9257D" w:rsidRDefault="00B9257D" w:rsidP="00FE05B6">
      <w:pPr>
        <w:widowControl w:val="0"/>
        <w:ind w:left="640" w:hanging="640"/>
        <w:rPr>
          <w:rFonts w:cs="Times"/>
          <w:noProof/>
          <w:szCs w:val="24"/>
        </w:rPr>
      </w:pPr>
      <w:r w:rsidRPr="00B9257D">
        <w:rPr>
          <w:rFonts w:cs="Times"/>
          <w:noProof/>
          <w:szCs w:val="24"/>
        </w:rPr>
        <w:t>[7]</w:t>
      </w:r>
      <w:r w:rsidRPr="00B9257D">
        <w:rPr>
          <w:rFonts w:cs="Times"/>
          <w:noProof/>
          <w:szCs w:val="24"/>
        </w:rPr>
        <w:tab/>
        <w:t xml:space="preserve">N. Zhou, W. Cheng, Y. Qin, and Z. Yin, “Evolution of high-frequency systematic trading: a performance-driven gradient boosting model,” </w:t>
      </w:r>
      <w:r w:rsidRPr="00B9257D">
        <w:rPr>
          <w:rFonts w:cs="Times"/>
          <w:i/>
          <w:iCs/>
          <w:noProof/>
          <w:szCs w:val="24"/>
        </w:rPr>
        <w:t>Quant. Financ.</w:t>
      </w:r>
      <w:r w:rsidRPr="00B9257D">
        <w:rPr>
          <w:rFonts w:cs="Times"/>
          <w:noProof/>
          <w:szCs w:val="24"/>
        </w:rPr>
        <w:t>, vol. 15, no. 8, SI, pp. 1387–1403, 2015.</w:t>
      </w:r>
    </w:p>
    <w:p w:rsidR="00B9257D" w:rsidRPr="00B9257D" w:rsidRDefault="00B9257D" w:rsidP="00FE05B6">
      <w:pPr>
        <w:widowControl w:val="0"/>
        <w:ind w:left="640" w:hanging="640"/>
        <w:rPr>
          <w:rFonts w:cs="Times"/>
          <w:noProof/>
          <w:szCs w:val="24"/>
        </w:rPr>
      </w:pPr>
      <w:r w:rsidRPr="00B9257D">
        <w:rPr>
          <w:rFonts w:cs="Times"/>
          <w:noProof/>
          <w:szCs w:val="24"/>
        </w:rPr>
        <w:t>[8]</w:t>
      </w:r>
      <w:r w:rsidRPr="00B9257D">
        <w:rPr>
          <w:rFonts w:cs="Times"/>
          <w:noProof/>
          <w:szCs w:val="24"/>
        </w:rPr>
        <w:tab/>
        <w:t>B. Narayanan, “Prediction of Stock Market using Ensemble Model,” vol. 128, no. 1, pp. 18–21, 2015.</w:t>
      </w:r>
    </w:p>
    <w:p w:rsidR="00B9257D" w:rsidRPr="00B9257D" w:rsidRDefault="00B9257D" w:rsidP="00FE05B6">
      <w:pPr>
        <w:widowControl w:val="0"/>
        <w:ind w:left="640" w:hanging="640"/>
        <w:rPr>
          <w:rFonts w:cs="Times"/>
          <w:noProof/>
          <w:szCs w:val="24"/>
        </w:rPr>
      </w:pPr>
      <w:r w:rsidRPr="00B9257D">
        <w:rPr>
          <w:rFonts w:cs="Times"/>
          <w:noProof/>
          <w:szCs w:val="24"/>
        </w:rPr>
        <w:t>[9]</w:t>
      </w:r>
      <w:r w:rsidRPr="00B9257D">
        <w:rPr>
          <w:rFonts w:cs="Times"/>
          <w:noProof/>
          <w:szCs w:val="24"/>
        </w:rPr>
        <w:tab/>
        <w:t xml:space="preserve">P. Rodriguez and A. Rodriguez, “Predicting stock market indices movements,” </w:t>
      </w:r>
      <w:r w:rsidRPr="00B9257D">
        <w:rPr>
          <w:rFonts w:cs="Times"/>
          <w:i/>
          <w:iCs/>
          <w:noProof/>
          <w:szCs w:val="24"/>
        </w:rPr>
        <w:t>Comput. Financ. its …</w:t>
      </w:r>
      <w:r w:rsidRPr="00B9257D">
        <w:rPr>
          <w:rFonts w:cs="Times"/>
          <w:noProof/>
          <w:szCs w:val="24"/>
        </w:rPr>
        <w:t>, 2004.</w:t>
      </w:r>
    </w:p>
    <w:p w:rsidR="00B9257D" w:rsidRPr="00B9257D" w:rsidRDefault="00B9257D" w:rsidP="00FE05B6">
      <w:pPr>
        <w:widowControl w:val="0"/>
        <w:ind w:left="640" w:hanging="640"/>
        <w:rPr>
          <w:rFonts w:cs="Times"/>
          <w:noProof/>
          <w:szCs w:val="24"/>
        </w:rPr>
      </w:pPr>
      <w:r w:rsidRPr="00B9257D">
        <w:rPr>
          <w:rFonts w:cs="Times"/>
          <w:noProof/>
          <w:szCs w:val="24"/>
        </w:rPr>
        <w:t>[10]</w:t>
      </w:r>
      <w:r w:rsidRPr="00B9257D">
        <w:rPr>
          <w:rFonts w:cs="Times"/>
          <w:noProof/>
          <w:szCs w:val="24"/>
        </w:rPr>
        <w:tab/>
        <w:t>“</w:t>
      </w:r>
      <w:r w:rsidR="00395562">
        <w:rPr>
          <w:rFonts w:cs="Times"/>
          <w:noProof/>
          <w:szCs w:val="24"/>
        </w:rPr>
        <w:t>Platforms</w:t>
      </w:r>
      <w:r w:rsidRPr="00B9257D">
        <w:rPr>
          <w:rFonts w:cs="Times"/>
          <w:noProof/>
          <w:szCs w:val="24"/>
        </w:rPr>
        <w:t>|GKFX.” [Online]. Available: https://www.gkfx.com/Platforms. [Accessed: 02-Apr-2017].</w:t>
      </w:r>
    </w:p>
    <w:p w:rsidR="009450EC" w:rsidRPr="000770C7" w:rsidRDefault="00B9257D" w:rsidP="00FE05B6">
      <w:pPr>
        <w:widowControl w:val="0"/>
        <w:ind w:left="640" w:hanging="640"/>
        <w:rPr>
          <w:b/>
        </w:rPr>
      </w:pPr>
      <w:r w:rsidRPr="00B9257D">
        <w:rPr>
          <w:rFonts w:cs="Times"/>
          <w:noProof/>
          <w:szCs w:val="24"/>
        </w:rPr>
        <w:t>[11]</w:t>
      </w:r>
      <w:r w:rsidRPr="00B9257D">
        <w:rPr>
          <w:rFonts w:cs="Times"/>
          <w:noProof/>
          <w:szCs w:val="24"/>
        </w:rPr>
        <w:tab/>
        <w:t>J. et al. Benediktsson, “TA-Lib.” [Online]. Available: https://mrjbq7.github.io/ta-lib/index.html. [Accessed: 02-Apr-2017].</w:t>
      </w:r>
      <w:r w:rsidR="007240B2">
        <w:fldChar w:fldCharType="end"/>
      </w:r>
    </w:p>
    <w:sectPr w:rsidR="009450EC" w:rsidRPr="000770C7">
      <w:headerReference w:type="even" r:id="rId12"/>
      <w:footerReference w:type="even" r:id="rId13"/>
      <w:headerReference w:type="first" r:id="rId14"/>
      <w:type w:val="oddPage"/>
      <w:pgSz w:w="11906" w:h="16838" w:code="9"/>
      <w:pgMar w:top="2948" w:right="2665" w:bottom="3231" w:left="2608" w:header="2381" w:footer="709"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E7B" w:rsidRDefault="00543E7B">
      <w:r>
        <w:separator/>
      </w:r>
    </w:p>
  </w:endnote>
  <w:endnote w:type="continuationSeparator" w:id="0">
    <w:p w:rsidR="00543E7B" w:rsidRDefault="0054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67D" w:rsidRDefault="00A6567D">
    <w:pPr>
      <w:pStyle w:val="Footer"/>
      <w:jc w:val="right"/>
    </w:pPr>
    <w:r>
      <w:fldChar w:fldCharType="begin"/>
    </w:r>
    <w:r w:rsidRPr="009450EC">
      <w:instrText xml:space="preserve"> PAGE   \* MERGEFORMAT </w:instrText>
    </w:r>
    <w:r>
      <w:fldChar w:fldCharType="separate"/>
    </w:r>
    <w:r w:rsidR="007D2DCC">
      <w:rPr>
        <w:noProof/>
      </w:rPr>
      <w:t>2</w:t>
    </w:r>
    <w:r>
      <w:rPr>
        <w:noProof/>
      </w:rPr>
      <w:fldChar w:fldCharType="end"/>
    </w:r>
  </w:p>
  <w:p w:rsidR="00A6567D" w:rsidRDefault="00A65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E7B" w:rsidRDefault="00543E7B">
      <w:pPr>
        <w:pStyle w:val="p1a"/>
      </w:pPr>
      <w:r>
        <w:separator/>
      </w:r>
    </w:p>
  </w:footnote>
  <w:footnote w:type="continuationSeparator" w:id="0">
    <w:p w:rsidR="00543E7B" w:rsidRDefault="00543E7B">
      <w:r>
        <w:continuationSeparator/>
      </w:r>
    </w:p>
  </w:footnote>
  <w:footnote w:id="1">
    <w:p w:rsidR="00A6567D" w:rsidRPr="00D16252" w:rsidRDefault="00A6567D" w:rsidP="00DA611E">
      <w:pPr>
        <w:pStyle w:val="FootnoteText"/>
        <w:rPr>
          <w:sz w:val="17"/>
          <w:szCs w:val="17"/>
        </w:rPr>
      </w:pPr>
      <w:r w:rsidRPr="00D16252">
        <w:rPr>
          <w:rStyle w:val="FootnoteReference"/>
          <w:sz w:val="17"/>
          <w:szCs w:val="17"/>
        </w:rPr>
        <w:footnoteRef/>
      </w:r>
      <w:r w:rsidRPr="00D16252">
        <w:rPr>
          <w:sz w:val="17"/>
          <w:szCs w:val="17"/>
        </w:rPr>
        <w:t xml:space="preserve"> Kernel Factory is an ensemble method where each base classifier of a random forest is fit on the kernel matrix of a subset of the training data. It is not used in this study.</w:t>
      </w:r>
    </w:p>
  </w:footnote>
  <w:footnote w:id="2">
    <w:p w:rsidR="00A6567D" w:rsidRDefault="00A6567D">
      <w:pPr>
        <w:pStyle w:val="FootnoteText"/>
      </w:pPr>
      <w:r>
        <w:rPr>
          <w:rStyle w:val="FootnoteReference"/>
        </w:rPr>
        <w:footnoteRef/>
      </w:r>
      <w:r>
        <w:t xml:space="preserve"> EMA is exponential moving average. EMA(close,10) indicates a 10 period exponential moving average of the data item, close.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67D" w:rsidRDefault="00A6567D" w:rsidP="00A04800">
    <w:pPr>
      <w:pStyle w:val="Header"/>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67D" w:rsidRDefault="00A6567D" w:rsidP="00A0480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9C4477"/>
    <w:multiLevelType w:val="hybridMultilevel"/>
    <w:tmpl w:val="ABEE72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6" w15:restartNumberingAfterBreak="0">
    <w:nsid w:val="470D70A4"/>
    <w:multiLevelType w:val="hybridMultilevel"/>
    <w:tmpl w:val="2DDEE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9"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8"/>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2"/>
  </w:num>
  <w:num w:numId="7">
    <w:abstractNumId w:val="9"/>
  </w:num>
  <w:num w:numId="8">
    <w:abstractNumId w:val="5"/>
  </w:num>
  <w:num w:numId="9">
    <w:abstractNumId w:val="2"/>
  </w:num>
  <w:num w:numId="10">
    <w:abstractNumId w:val="9"/>
  </w:num>
  <w:num w:numId="11">
    <w:abstractNumId w:val="7"/>
  </w:num>
  <w:num w:numId="12">
    <w:abstractNumId w:val="0"/>
  </w:num>
  <w:num w:numId="13">
    <w:abstractNumId w:val="7"/>
  </w:num>
  <w:num w:numId="14">
    <w:abstractNumId w:val="0"/>
  </w:num>
  <w:num w:numId="15">
    <w:abstractNumId w:val="0"/>
  </w:num>
  <w:num w:numId="16">
    <w:abstractNumId w:val="7"/>
  </w:num>
  <w:num w:numId="17">
    <w:abstractNumId w:val="0"/>
  </w:num>
  <w:num w:numId="18">
    <w:abstractNumId w:val="0"/>
  </w:num>
  <w:num w:numId="19">
    <w:abstractNumId w:val="9"/>
  </w:num>
  <w:num w:numId="20">
    <w:abstractNumId w:val="9"/>
  </w:num>
  <w:num w:numId="21">
    <w:abstractNumId w:val="9"/>
  </w:num>
  <w:num w:numId="22">
    <w:abstractNumId w:val="3"/>
  </w:num>
  <w:num w:numId="23">
    <w:abstractNumId w:val="3"/>
  </w:num>
  <w:num w:numId="24">
    <w:abstractNumId w:val="3"/>
  </w:num>
  <w:num w:numId="25">
    <w:abstractNumId w:val="3"/>
  </w:num>
  <w:num w:numId="26">
    <w:abstractNumId w:val="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onsecutiveHyphenLimit w:val="3"/>
  <w:hyphenationZone w:val="144"/>
  <w:doNotHyphenateCaps/>
  <w:evenAndOddHeaders/>
  <w:drawingGridHorizontalSpacing w:val="110"/>
  <w:drawingGridVerticalSpacing w:val="163"/>
  <w:displayHorizontalDrawingGridEvery w:val="0"/>
  <w:displayVerticalDrawingGridEvery w:val="0"/>
  <w:noPunctuationKerning/>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ED"/>
    <w:rsid w:val="00005F1B"/>
    <w:rsid w:val="000078BE"/>
    <w:rsid w:val="00035DF5"/>
    <w:rsid w:val="00044A53"/>
    <w:rsid w:val="0006723C"/>
    <w:rsid w:val="000770C7"/>
    <w:rsid w:val="000777D3"/>
    <w:rsid w:val="000778CA"/>
    <w:rsid w:val="00082D99"/>
    <w:rsid w:val="00091A36"/>
    <w:rsid w:val="000966CC"/>
    <w:rsid w:val="00096DED"/>
    <w:rsid w:val="000B08D4"/>
    <w:rsid w:val="000B159B"/>
    <w:rsid w:val="000E0820"/>
    <w:rsid w:val="000E42AE"/>
    <w:rsid w:val="00103A73"/>
    <w:rsid w:val="001063F4"/>
    <w:rsid w:val="00120F8B"/>
    <w:rsid w:val="0013053B"/>
    <w:rsid w:val="00131A09"/>
    <w:rsid w:val="001328DD"/>
    <w:rsid w:val="00143E69"/>
    <w:rsid w:val="00143EDA"/>
    <w:rsid w:val="00147CF6"/>
    <w:rsid w:val="001710CB"/>
    <w:rsid w:val="001775CD"/>
    <w:rsid w:val="001912D7"/>
    <w:rsid w:val="001B5AA2"/>
    <w:rsid w:val="001B5AC7"/>
    <w:rsid w:val="001D0B49"/>
    <w:rsid w:val="001D73DE"/>
    <w:rsid w:val="001E740A"/>
    <w:rsid w:val="001F14E6"/>
    <w:rsid w:val="001F1B99"/>
    <w:rsid w:val="00203955"/>
    <w:rsid w:val="00207E96"/>
    <w:rsid w:val="00226F60"/>
    <w:rsid w:val="00235927"/>
    <w:rsid w:val="00236209"/>
    <w:rsid w:val="002364CB"/>
    <w:rsid w:val="0023772C"/>
    <w:rsid w:val="002433BC"/>
    <w:rsid w:val="00247152"/>
    <w:rsid w:val="00253A74"/>
    <w:rsid w:val="00262770"/>
    <w:rsid w:val="00292902"/>
    <w:rsid w:val="002F2934"/>
    <w:rsid w:val="00303FC5"/>
    <w:rsid w:val="00311273"/>
    <w:rsid w:val="00320C84"/>
    <w:rsid w:val="00321658"/>
    <w:rsid w:val="0033397F"/>
    <w:rsid w:val="003576BD"/>
    <w:rsid w:val="00360E7F"/>
    <w:rsid w:val="00375E67"/>
    <w:rsid w:val="00384C07"/>
    <w:rsid w:val="00395562"/>
    <w:rsid w:val="003F4962"/>
    <w:rsid w:val="004012D2"/>
    <w:rsid w:val="00403EC8"/>
    <w:rsid w:val="00405E55"/>
    <w:rsid w:val="00410267"/>
    <w:rsid w:val="00425BE8"/>
    <w:rsid w:val="0042659B"/>
    <w:rsid w:val="00430AAE"/>
    <w:rsid w:val="0045087C"/>
    <w:rsid w:val="004552DA"/>
    <w:rsid w:val="0046154C"/>
    <w:rsid w:val="004620FB"/>
    <w:rsid w:val="00480481"/>
    <w:rsid w:val="00493C8D"/>
    <w:rsid w:val="004A67B5"/>
    <w:rsid w:val="004C44CA"/>
    <w:rsid w:val="004D03CB"/>
    <w:rsid w:val="004D2E66"/>
    <w:rsid w:val="004D4BF3"/>
    <w:rsid w:val="004E04B1"/>
    <w:rsid w:val="004E2DE8"/>
    <w:rsid w:val="004F12B1"/>
    <w:rsid w:val="00543E7B"/>
    <w:rsid w:val="00544A38"/>
    <w:rsid w:val="0056369D"/>
    <w:rsid w:val="005740FB"/>
    <w:rsid w:val="00583E41"/>
    <w:rsid w:val="00590378"/>
    <w:rsid w:val="00594390"/>
    <w:rsid w:val="005B0903"/>
    <w:rsid w:val="005C4355"/>
    <w:rsid w:val="005D0A9E"/>
    <w:rsid w:val="00601085"/>
    <w:rsid w:val="006125A7"/>
    <w:rsid w:val="006139F1"/>
    <w:rsid w:val="00623869"/>
    <w:rsid w:val="006364C9"/>
    <w:rsid w:val="006475F9"/>
    <w:rsid w:val="006620E7"/>
    <w:rsid w:val="0066495D"/>
    <w:rsid w:val="00680383"/>
    <w:rsid w:val="0068093E"/>
    <w:rsid w:val="006829A3"/>
    <w:rsid w:val="00683B7A"/>
    <w:rsid w:val="006A3F1A"/>
    <w:rsid w:val="006A574A"/>
    <w:rsid w:val="006C4081"/>
    <w:rsid w:val="006D2606"/>
    <w:rsid w:val="006D2647"/>
    <w:rsid w:val="006D6414"/>
    <w:rsid w:val="006E3B89"/>
    <w:rsid w:val="006E723D"/>
    <w:rsid w:val="00704037"/>
    <w:rsid w:val="007134C2"/>
    <w:rsid w:val="00722F8A"/>
    <w:rsid w:val="00723352"/>
    <w:rsid w:val="007240B2"/>
    <w:rsid w:val="0072507E"/>
    <w:rsid w:val="00736654"/>
    <w:rsid w:val="007463AE"/>
    <w:rsid w:val="00772BBE"/>
    <w:rsid w:val="00791BDF"/>
    <w:rsid w:val="0079631D"/>
    <w:rsid w:val="007A2AD6"/>
    <w:rsid w:val="007C3D3F"/>
    <w:rsid w:val="007C7B29"/>
    <w:rsid w:val="007D2260"/>
    <w:rsid w:val="007D2DCC"/>
    <w:rsid w:val="007D7E71"/>
    <w:rsid w:val="007E2210"/>
    <w:rsid w:val="007E3177"/>
    <w:rsid w:val="007F76CF"/>
    <w:rsid w:val="00805002"/>
    <w:rsid w:val="0081333B"/>
    <w:rsid w:val="008205BD"/>
    <w:rsid w:val="008362C3"/>
    <w:rsid w:val="008603F5"/>
    <w:rsid w:val="008662CD"/>
    <w:rsid w:val="008A0DE5"/>
    <w:rsid w:val="008C0390"/>
    <w:rsid w:val="008D6DE3"/>
    <w:rsid w:val="008E2B14"/>
    <w:rsid w:val="0090334B"/>
    <w:rsid w:val="00903B42"/>
    <w:rsid w:val="0091061C"/>
    <w:rsid w:val="00917DB2"/>
    <w:rsid w:val="009279CD"/>
    <w:rsid w:val="00930348"/>
    <w:rsid w:val="00940060"/>
    <w:rsid w:val="00940A67"/>
    <w:rsid w:val="009450EC"/>
    <w:rsid w:val="009467C9"/>
    <w:rsid w:val="009528E2"/>
    <w:rsid w:val="00954D64"/>
    <w:rsid w:val="00962B32"/>
    <w:rsid w:val="00976926"/>
    <w:rsid w:val="00981089"/>
    <w:rsid w:val="00983031"/>
    <w:rsid w:val="00984FE1"/>
    <w:rsid w:val="00985C08"/>
    <w:rsid w:val="009910E3"/>
    <w:rsid w:val="009960F7"/>
    <w:rsid w:val="00997C4B"/>
    <w:rsid w:val="009A5235"/>
    <w:rsid w:val="009C16B2"/>
    <w:rsid w:val="009D04DB"/>
    <w:rsid w:val="009D6CEC"/>
    <w:rsid w:val="00A04800"/>
    <w:rsid w:val="00A1344F"/>
    <w:rsid w:val="00A1513A"/>
    <w:rsid w:val="00A212C2"/>
    <w:rsid w:val="00A22A7A"/>
    <w:rsid w:val="00A23276"/>
    <w:rsid w:val="00A30C78"/>
    <w:rsid w:val="00A44442"/>
    <w:rsid w:val="00A45869"/>
    <w:rsid w:val="00A46D8F"/>
    <w:rsid w:val="00A570EB"/>
    <w:rsid w:val="00A64C5A"/>
    <w:rsid w:val="00A6567D"/>
    <w:rsid w:val="00A7006D"/>
    <w:rsid w:val="00A72563"/>
    <w:rsid w:val="00A737C6"/>
    <w:rsid w:val="00A86683"/>
    <w:rsid w:val="00A91319"/>
    <w:rsid w:val="00A95F83"/>
    <w:rsid w:val="00A961B8"/>
    <w:rsid w:val="00AA079C"/>
    <w:rsid w:val="00AB3560"/>
    <w:rsid w:val="00AC078B"/>
    <w:rsid w:val="00AC38BA"/>
    <w:rsid w:val="00AD3207"/>
    <w:rsid w:val="00AF20E8"/>
    <w:rsid w:val="00B0527B"/>
    <w:rsid w:val="00B065E8"/>
    <w:rsid w:val="00B21214"/>
    <w:rsid w:val="00B3012C"/>
    <w:rsid w:val="00B33BFE"/>
    <w:rsid w:val="00B42454"/>
    <w:rsid w:val="00B45973"/>
    <w:rsid w:val="00B5108A"/>
    <w:rsid w:val="00B5459D"/>
    <w:rsid w:val="00B60E39"/>
    <w:rsid w:val="00B61139"/>
    <w:rsid w:val="00B6395B"/>
    <w:rsid w:val="00B64040"/>
    <w:rsid w:val="00B90667"/>
    <w:rsid w:val="00B9257D"/>
    <w:rsid w:val="00B95482"/>
    <w:rsid w:val="00B96083"/>
    <w:rsid w:val="00B97ED3"/>
    <w:rsid w:val="00BA75F3"/>
    <w:rsid w:val="00BB378D"/>
    <w:rsid w:val="00BB4A8F"/>
    <w:rsid w:val="00BB7B6A"/>
    <w:rsid w:val="00BC0319"/>
    <w:rsid w:val="00BC3843"/>
    <w:rsid w:val="00BD3DBF"/>
    <w:rsid w:val="00BD5B69"/>
    <w:rsid w:val="00BE7C3C"/>
    <w:rsid w:val="00BF2C5E"/>
    <w:rsid w:val="00BF32F7"/>
    <w:rsid w:val="00BF4D26"/>
    <w:rsid w:val="00C1049F"/>
    <w:rsid w:val="00C11541"/>
    <w:rsid w:val="00C16F01"/>
    <w:rsid w:val="00C22245"/>
    <w:rsid w:val="00C25D4C"/>
    <w:rsid w:val="00C36653"/>
    <w:rsid w:val="00C514A1"/>
    <w:rsid w:val="00C56A12"/>
    <w:rsid w:val="00C67AC4"/>
    <w:rsid w:val="00C7344F"/>
    <w:rsid w:val="00C834AE"/>
    <w:rsid w:val="00C921ED"/>
    <w:rsid w:val="00C922B0"/>
    <w:rsid w:val="00C9597D"/>
    <w:rsid w:val="00C97C83"/>
    <w:rsid w:val="00CB1C96"/>
    <w:rsid w:val="00CB7508"/>
    <w:rsid w:val="00CC0309"/>
    <w:rsid w:val="00CC487D"/>
    <w:rsid w:val="00CC5595"/>
    <w:rsid w:val="00CD548C"/>
    <w:rsid w:val="00CE7D36"/>
    <w:rsid w:val="00CF22F3"/>
    <w:rsid w:val="00CF3EA2"/>
    <w:rsid w:val="00CF72F1"/>
    <w:rsid w:val="00D036FE"/>
    <w:rsid w:val="00D127FB"/>
    <w:rsid w:val="00D16252"/>
    <w:rsid w:val="00D2370F"/>
    <w:rsid w:val="00D27CCD"/>
    <w:rsid w:val="00D3063B"/>
    <w:rsid w:val="00D374B3"/>
    <w:rsid w:val="00D4758B"/>
    <w:rsid w:val="00D52D3D"/>
    <w:rsid w:val="00D6362A"/>
    <w:rsid w:val="00D648B7"/>
    <w:rsid w:val="00D71F8F"/>
    <w:rsid w:val="00D75CA1"/>
    <w:rsid w:val="00D76601"/>
    <w:rsid w:val="00D81D2F"/>
    <w:rsid w:val="00D85E85"/>
    <w:rsid w:val="00D9296D"/>
    <w:rsid w:val="00D9384C"/>
    <w:rsid w:val="00D9484B"/>
    <w:rsid w:val="00DA611E"/>
    <w:rsid w:val="00DB46E5"/>
    <w:rsid w:val="00DB5992"/>
    <w:rsid w:val="00DB5E74"/>
    <w:rsid w:val="00DB6263"/>
    <w:rsid w:val="00DB7EA2"/>
    <w:rsid w:val="00DC05FD"/>
    <w:rsid w:val="00DE4937"/>
    <w:rsid w:val="00DE4945"/>
    <w:rsid w:val="00E02EDA"/>
    <w:rsid w:val="00E06786"/>
    <w:rsid w:val="00E12F10"/>
    <w:rsid w:val="00E359E3"/>
    <w:rsid w:val="00E35DEA"/>
    <w:rsid w:val="00E53FE2"/>
    <w:rsid w:val="00E83DE4"/>
    <w:rsid w:val="00E92617"/>
    <w:rsid w:val="00EA2E72"/>
    <w:rsid w:val="00EA44D1"/>
    <w:rsid w:val="00EB6306"/>
    <w:rsid w:val="00ED16E8"/>
    <w:rsid w:val="00ED6CDE"/>
    <w:rsid w:val="00EE3674"/>
    <w:rsid w:val="00EF088B"/>
    <w:rsid w:val="00EF447C"/>
    <w:rsid w:val="00EF64DC"/>
    <w:rsid w:val="00F03443"/>
    <w:rsid w:val="00F04559"/>
    <w:rsid w:val="00F0463C"/>
    <w:rsid w:val="00F04CAD"/>
    <w:rsid w:val="00F208CD"/>
    <w:rsid w:val="00F301AF"/>
    <w:rsid w:val="00F72AC0"/>
    <w:rsid w:val="00F75922"/>
    <w:rsid w:val="00F843DC"/>
    <w:rsid w:val="00F932EF"/>
    <w:rsid w:val="00F95957"/>
    <w:rsid w:val="00FA5C78"/>
    <w:rsid w:val="00FB0E03"/>
    <w:rsid w:val="00FD242B"/>
    <w:rsid w:val="00FE05B6"/>
    <w:rsid w:val="00FE37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734E87"/>
  <w15:chartTrackingRefBased/>
  <w15:docId w15:val="{15059A23-89E0-43C7-9285-64D53C73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0C84"/>
    <w:pPr>
      <w:overflowPunct w:val="0"/>
      <w:autoSpaceDE w:val="0"/>
      <w:autoSpaceDN w:val="0"/>
      <w:adjustRightInd w:val="0"/>
      <w:spacing w:line="240" w:lineRule="atLeast"/>
      <w:ind w:firstLine="238"/>
      <w:jc w:val="both"/>
      <w:textAlignment w:val="baseline"/>
    </w:pPr>
    <w:rPr>
      <w:rFonts w:ascii="Times" w:hAnsi="Times"/>
      <w:lang w:eastAsia="de-DE"/>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ind w:firstLine="0"/>
      <w:jc w:val="left"/>
    </w:pPr>
    <w:rPr>
      <w:b/>
    </w:rPr>
  </w:style>
  <w:style w:type="paragraph" w:customStyle="1" w:styleId="table">
    <w:name w:val="table"/>
    <w:basedOn w:val="Normal"/>
    <w:rsid w:val="00D52D3D"/>
    <w:pPr>
      <w:spacing w:before="60" w:line="200" w:lineRule="atLeast"/>
      <w:ind w:firstLine="0"/>
      <w:jc w:val="left"/>
    </w:pPr>
    <w:rPr>
      <w:sz w:val="17"/>
      <w:szCs w:val="18"/>
    </w:rPr>
  </w:style>
  <w:style w:type="paragraph" w:customStyle="1" w:styleId="equation">
    <w:name w:val="equation"/>
    <w:basedOn w:val="Normal"/>
    <w:next w:val="Normal"/>
    <w:rsid w:val="00B97ED3"/>
    <w:pPr>
      <w:tabs>
        <w:tab w:val="center" w:pos="3204"/>
        <w:tab w:val="right" w:pos="6634"/>
      </w:tabs>
      <w:spacing w:before="240" w:after="240"/>
      <w:ind w:firstLine="0"/>
      <w:jc w:val="left"/>
    </w:pPr>
  </w:style>
  <w:style w:type="paragraph" w:customStyle="1" w:styleId="figlegend">
    <w:name w:val="figlegend"/>
    <w:basedOn w:val="Normal"/>
    <w:next w:val="Normal"/>
    <w:rsid w:val="00D52D3D"/>
    <w:pPr>
      <w:keepLines/>
      <w:spacing w:before="120" w:after="240" w:line="200" w:lineRule="atLeast"/>
      <w:ind w:firstLine="0"/>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pPr>
      <w:ind w:firstLine="0"/>
    </w:pPr>
  </w:style>
  <w:style w:type="character" w:styleId="FootnoteReference">
    <w:name w:val="footnote reference"/>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ind w:firstLine="0"/>
      <w:jc w:val="left"/>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jc w:val="left"/>
    </w:pPr>
    <w:rPr>
      <w:b/>
    </w:rPr>
  </w:style>
  <w:style w:type="paragraph" w:customStyle="1" w:styleId="Subitem">
    <w:name w:val="Subitem"/>
    <w:rsid w:val="006A574A"/>
    <w:pPr>
      <w:numPr>
        <w:numId w:val="18"/>
      </w:numPr>
      <w:spacing w:after="120" w:line="240" w:lineRule="atLeast"/>
      <w:contextualSpacing/>
      <w:jc w:val="both"/>
    </w:pPr>
    <w:rPr>
      <w:rFonts w:ascii="Times" w:hAnsi="Times"/>
      <w:lang w:val="en-US"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ind w:firstLine="0"/>
    </w:pPr>
    <w:rPr>
      <w:sz w:val="17"/>
    </w:rPr>
  </w:style>
  <w:style w:type="paragraph" w:customStyle="1" w:styleId="tablenotes">
    <w:name w:val="tablenotes"/>
    <w:basedOn w:val="Normal"/>
    <w:next w:val="Normal"/>
    <w:rsid w:val="00D52D3D"/>
    <w:pPr>
      <w:widowControl w:val="0"/>
      <w:spacing w:before="20" w:line="200" w:lineRule="atLeast"/>
      <w:ind w:firstLine="0"/>
      <w:jc w:val="left"/>
    </w:pPr>
    <w:rPr>
      <w:sz w:val="17"/>
    </w:rPr>
  </w:style>
  <w:style w:type="paragraph" w:customStyle="1" w:styleId="Title1">
    <w:name w:val="Title1"/>
    <w:basedOn w:val="Normal"/>
    <w:next w:val="p1a"/>
    <w:rsid w:val="000E0820"/>
    <w:pPr>
      <w:keepNext/>
      <w:keepLines/>
      <w:pageBreakBefore/>
      <w:tabs>
        <w:tab w:val="left" w:pos="284"/>
      </w:tabs>
      <w:suppressAutoHyphens/>
      <w:spacing w:line="360" w:lineRule="atLeast"/>
      <w:ind w:firstLine="0"/>
      <w:jc w:val="left"/>
    </w:pPr>
    <w:rPr>
      <w:b/>
      <w:sz w:val="32"/>
    </w:rPr>
  </w:style>
  <w:style w:type="paragraph" w:styleId="TOC1">
    <w:name w:val="toc 1"/>
    <w:basedOn w:val="Normal"/>
    <w:next w:val="petit"/>
    <w:semiHidden/>
    <w:pPr>
      <w:tabs>
        <w:tab w:val="right" w:leader="dot" w:pos="6634"/>
      </w:tabs>
      <w:spacing w:before="240"/>
      <w:ind w:firstLine="0"/>
      <w:jc w:val="left"/>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jc w:val="left"/>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jc w:val="left"/>
    </w:pPr>
    <w:rPr>
      <w:szCs w:val="21"/>
    </w:rPr>
  </w:style>
  <w:style w:type="paragraph" w:styleId="FootnoteText">
    <w:name w:val="footnote text"/>
    <w:basedOn w:val="Normal"/>
    <w:semiHidden/>
  </w:style>
  <w:style w:type="paragraph" w:styleId="TOC4">
    <w:name w:val="toc 4"/>
    <w:basedOn w:val="TOC3"/>
    <w:next w:val="Normal"/>
    <w:semiHidden/>
    <w:rsid w:val="00772BBE"/>
    <w:pPr>
      <w:ind w:left="737"/>
    </w:pPr>
  </w:style>
  <w:style w:type="character" w:styleId="Hyperlink">
    <w:name w:val="Hyperlink"/>
    <w:rPr>
      <w:color w:val="0000FF"/>
      <w:u w:val="single"/>
    </w:rPr>
  </w:style>
  <w:style w:type="paragraph" w:customStyle="1" w:styleId="heading4">
    <w:name w:val="heading4"/>
    <w:basedOn w:val="p1a"/>
    <w:next w:val="p1a"/>
    <w:rsid w:val="00005F1B"/>
    <w:pPr>
      <w:keepNext/>
      <w:suppressAutoHyphens/>
      <w:spacing w:before="480" w:after="240"/>
      <w:jc w:val="left"/>
    </w:pPr>
  </w:style>
  <w:style w:type="paragraph" w:customStyle="1" w:styleId="heading5">
    <w:name w:val="heading5"/>
    <w:basedOn w:val="heading4"/>
    <w:next w:val="p1a"/>
    <w:rsid w:val="00D4758B"/>
    <w:pPr>
      <w:spacing w:before="360" w:after="120"/>
    </w:pPr>
    <w:rPr>
      <w:i/>
    </w:rPr>
  </w:style>
  <w:style w:type="paragraph" w:customStyle="1" w:styleId="Subtitle1">
    <w:name w:val="Subtitle1"/>
    <w:basedOn w:val="Title1"/>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firstLine="0"/>
      <w:jc w:val="left"/>
    </w:pPr>
    <w:rPr>
      <w:sz w:val="17"/>
    </w:rPr>
  </w:style>
  <w:style w:type="paragraph" w:customStyle="1" w:styleId="abstract">
    <w:name w:val="abstract"/>
    <w:basedOn w:val="Normal"/>
    <w:next w:val="Normal"/>
    <w:rsid w:val="00B61139"/>
    <w:pPr>
      <w:spacing w:before="480" w:after="480"/>
      <w:ind w:firstLine="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programcode">
    <w:name w:val="programcode"/>
    <w:basedOn w:val="Normal"/>
    <w:rsid w:val="00320C84"/>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styleId="NormalWeb">
    <w:name w:val="Normal (Web)"/>
    <w:basedOn w:val="Normal"/>
    <w:rsid w:val="00320C84"/>
    <w:pPr>
      <w:overflowPunct/>
      <w:autoSpaceDE/>
      <w:autoSpaceDN/>
      <w:adjustRightInd/>
      <w:spacing w:before="100" w:beforeAutospacing="1" w:after="100" w:afterAutospacing="1" w:line="240" w:lineRule="auto"/>
      <w:ind w:firstLine="0"/>
      <w:jc w:val="left"/>
      <w:textAlignment w:val="auto"/>
    </w:pPr>
    <w:rPr>
      <w:rFonts w:ascii="Times New Roman" w:hAnsi="Times New Roman"/>
      <w:sz w:val="24"/>
      <w:szCs w:val="24"/>
      <w:lang w:eastAsia="en-US"/>
    </w:rPr>
  </w:style>
  <w:style w:type="table" w:styleId="TableGrid">
    <w:name w:val="Table Grid"/>
    <w:basedOn w:val="TableNormal"/>
    <w:rsid w:val="00320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25BE8"/>
    <w:rPr>
      <w:rFonts w:ascii="Times" w:hAnsi="Times"/>
      <w:lang w:val="en-US" w:eastAsia="de-DE"/>
    </w:rPr>
  </w:style>
  <w:style w:type="character" w:customStyle="1" w:styleId="apple-converted-space">
    <w:name w:val="apple-converted-space"/>
    <w:rsid w:val="00A04800"/>
  </w:style>
  <w:style w:type="character" w:styleId="Emphasis">
    <w:name w:val="Emphasis"/>
    <w:uiPriority w:val="20"/>
    <w:qFormat/>
    <w:rsid w:val="00A04800"/>
    <w:rPr>
      <w:i/>
      <w:iCs/>
    </w:rPr>
  </w:style>
  <w:style w:type="character" w:styleId="PlaceholderText">
    <w:name w:val="Placeholder Text"/>
    <w:uiPriority w:val="99"/>
    <w:semiHidden/>
    <w:rsid w:val="00A04800"/>
    <w:rPr>
      <w:color w:val="808080"/>
    </w:rPr>
  </w:style>
  <w:style w:type="paragraph" w:styleId="HTMLPreformatted">
    <w:name w:val="HTML Preformatted"/>
    <w:basedOn w:val="Normal"/>
    <w:link w:val="HTMLPreformattedChar"/>
    <w:uiPriority w:val="99"/>
    <w:unhideWhenUsed/>
    <w:rsid w:val="00091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en-IE"/>
    </w:rPr>
  </w:style>
  <w:style w:type="character" w:customStyle="1" w:styleId="HTMLPreformattedChar">
    <w:name w:val="HTML Preformatted Char"/>
    <w:link w:val="HTMLPreformatted"/>
    <w:uiPriority w:val="99"/>
    <w:rsid w:val="00091A36"/>
    <w:rPr>
      <w:rFonts w:ascii="Courier New" w:hAnsi="Courier New" w:cs="Courier New"/>
    </w:rPr>
  </w:style>
  <w:style w:type="paragraph" w:styleId="Caption">
    <w:name w:val="caption"/>
    <w:basedOn w:val="Normal"/>
    <w:next w:val="Normal"/>
    <w:uiPriority w:val="35"/>
    <w:unhideWhenUsed/>
    <w:qFormat/>
    <w:rsid w:val="000E42AE"/>
    <w:rPr>
      <w:b/>
      <w:bCs/>
    </w:rPr>
  </w:style>
  <w:style w:type="paragraph" w:customStyle="1" w:styleId="My-Normal">
    <w:name w:val="My-Normal"/>
    <w:basedOn w:val="Normal"/>
    <w:link w:val="My-NormalChar"/>
    <w:qFormat/>
    <w:rsid w:val="006364C9"/>
    <w:pPr>
      <w:overflowPunct/>
      <w:autoSpaceDE/>
      <w:autoSpaceDN/>
      <w:adjustRightInd/>
      <w:spacing w:after="160" w:line="259" w:lineRule="auto"/>
      <w:ind w:firstLine="0"/>
      <w:jc w:val="left"/>
      <w:textAlignment w:val="auto"/>
    </w:pPr>
    <w:rPr>
      <w:rFonts w:ascii="Times New Roman" w:eastAsiaTheme="minorHAnsi" w:hAnsi="Times New Roman" w:cstheme="minorBidi"/>
      <w:sz w:val="24"/>
      <w:szCs w:val="22"/>
      <w:lang w:eastAsia="en-US"/>
    </w:rPr>
  </w:style>
  <w:style w:type="character" w:customStyle="1" w:styleId="My-NormalChar">
    <w:name w:val="My-Normal Char"/>
    <w:basedOn w:val="DefaultParagraphFont"/>
    <w:link w:val="My-Normal"/>
    <w:rsid w:val="006364C9"/>
    <w:rPr>
      <w:rFonts w:eastAsiaTheme="minorHAnsi" w:cstheme="minorBidi"/>
      <w:sz w:val="24"/>
      <w:szCs w:val="22"/>
      <w:lang w:eastAsia="en-US"/>
    </w:rPr>
  </w:style>
  <w:style w:type="paragraph" w:styleId="ListParagraph">
    <w:name w:val="List Paragraph"/>
    <w:basedOn w:val="Normal"/>
    <w:uiPriority w:val="34"/>
    <w:qFormat/>
    <w:rsid w:val="004E0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95469">
      <w:bodyDiv w:val="1"/>
      <w:marLeft w:val="0"/>
      <w:marRight w:val="0"/>
      <w:marTop w:val="0"/>
      <w:marBottom w:val="0"/>
      <w:divBdr>
        <w:top w:val="none" w:sz="0" w:space="0" w:color="auto"/>
        <w:left w:val="none" w:sz="0" w:space="0" w:color="auto"/>
        <w:bottom w:val="none" w:sz="0" w:space="0" w:color="auto"/>
        <w:right w:val="none" w:sz="0" w:space="0" w:color="auto"/>
      </w:divBdr>
    </w:div>
    <w:div w:id="372779306">
      <w:bodyDiv w:val="1"/>
      <w:marLeft w:val="0"/>
      <w:marRight w:val="0"/>
      <w:marTop w:val="0"/>
      <w:marBottom w:val="0"/>
      <w:divBdr>
        <w:top w:val="none" w:sz="0" w:space="0" w:color="auto"/>
        <w:left w:val="none" w:sz="0" w:space="0" w:color="auto"/>
        <w:bottom w:val="none" w:sz="0" w:space="0" w:color="auto"/>
        <w:right w:val="none" w:sz="0" w:space="0" w:color="auto"/>
      </w:divBdr>
    </w:div>
    <w:div w:id="508910066">
      <w:bodyDiv w:val="1"/>
      <w:marLeft w:val="0"/>
      <w:marRight w:val="0"/>
      <w:marTop w:val="0"/>
      <w:marBottom w:val="0"/>
      <w:divBdr>
        <w:top w:val="none" w:sz="0" w:space="0" w:color="auto"/>
        <w:left w:val="none" w:sz="0" w:space="0" w:color="auto"/>
        <w:bottom w:val="none" w:sz="0" w:space="0" w:color="auto"/>
        <w:right w:val="none" w:sz="0" w:space="0" w:color="auto"/>
      </w:divBdr>
    </w:div>
    <w:div w:id="1228343783">
      <w:bodyDiv w:val="1"/>
      <w:marLeft w:val="0"/>
      <w:marRight w:val="0"/>
      <w:marTop w:val="0"/>
      <w:marBottom w:val="0"/>
      <w:divBdr>
        <w:top w:val="none" w:sz="0" w:space="0" w:color="auto"/>
        <w:left w:val="none" w:sz="0" w:space="0" w:color="auto"/>
        <w:bottom w:val="none" w:sz="0" w:space="0" w:color="auto"/>
        <w:right w:val="none" w:sz="0" w:space="0" w:color="auto"/>
      </w:divBdr>
    </w:div>
    <w:div w:id="1298072144">
      <w:bodyDiv w:val="1"/>
      <w:marLeft w:val="0"/>
      <w:marRight w:val="0"/>
      <w:marTop w:val="0"/>
      <w:marBottom w:val="0"/>
      <w:divBdr>
        <w:top w:val="none" w:sz="0" w:space="0" w:color="auto"/>
        <w:left w:val="none" w:sz="0" w:space="0" w:color="auto"/>
        <w:bottom w:val="none" w:sz="0" w:space="0" w:color="auto"/>
        <w:right w:val="none" w:sz="0" w:space="0" w:color="auto"/>
      </w:divBdr>
    </w:div>
    <w:div w:id="13879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x\Application%20Data\Microsoft\Templates\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76CA0-EE19-4985-B266-A8501D0C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T1-book</Template>
  <TotalTime>1693</TotalTime>
  <Pages>10</Pages>
  <Words>5234</Words>
  <Characters>29835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xxx</vt:lpstr>
    </vt:vector>
  </TitlesOfParts>
  <Company>BertelsmannSpringer</Company>
  <LinksUpToDate>false</LinksUpToDate>
  <CharactersWithSpaces>35000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dc:title>
  <dc:subject/>
  <dc:creator>Kevin O'Mahony</dc:creator>
  <cp:keywords/>
  <dc:description/>
  <cp:lastModifiedBy>Kevin O'Mahony</cp:lastModifiedBy>
  <cp:revision>20</cp:revision>
  <dcterms:created xsi:type="dcterms:W3CDTF">2017-04-30T16:01:00Z</dcterms:created>
  <dcterms:modified xsi:type="dcterms:W3CDTF">2017-05-06T09:24:00Z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6087d11f-5ab4-32c5-825b-26e5f2124ce6</vt:lpwstr>
  </property>
  <property fmtid="{D5CDD505-2E9C-101B-9397-08002B2CF9AE}" pid="24" name="Mendeley Citation Style_1">
    <vt:lpwstr>http://www.zotero.org/styles/ieee</vt:lpwstr>
  </property>
</Properties>
</file>