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72"/>
          <w:szCs w:val="72"/>
        </w:rPr>
        <w:t xml:space="preserve">AlignEdge</w:t>
      </w:r>
    </w:p>
    <w:p>
      <w:pPr>
        <w:spacing w:after="1200"/>
        <w:jc w:val="center"/>
      </w:pPr>
      <w:r>
        <w:rPr>
          <w:color w:val="595959"/>
          <w:sz w:val="36"/>
          <w:szCs w:val="36"/>
        </w:rPr>
        <w:t xml:space="preserve">Business Model Canvas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Worksheet completo — 9 blocchi Osterwalder + evoluzione per fase</w:t>
      </w:r>
    </w:p>
    <w:p>
      <w:pPr>
        <w:spacing w:after="60" w:before="1200"/>
        <w:jc w:val="center"/>
      </w:pPr>
      <w:r>
        <w:rPr>
          <w:b/>
          <w:bCs/>
          <w:sz w:val="24"/>
          <w:szCs w:val="24"/>
        </w:rPr>
        <w:t xml:space="preserve">Kevin Omede</w:t>
      </w:r>
    </w:p>
    <w:p>
      <w:pPr>
        <w:spacing w:after="60"/>
        <w:jc w:val="center"/>
      </w:pPr>
      <w:r>
        <w:rPr>
          <w:i/>
          <w:iCs/>
          <w:color w:val="808080"/>
          <w:sz w:val="20"/>
          <w:szCs w:val="20"/>
        </w:rPr>
        <w:t xml:space="preserve">Founder Program — 29 giugno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Come leggere questo canvas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Un Business Model Canvas non è una descrizione di prodotto — è una mappa di come il prodotto fa soldi. Nove blocchi che insieme rispondono a quattro domande: chi paghi, chi paga te, cosa offri, e come l'offerta arriva al cliente.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Questo documento è organizzato in tre passaggi: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Canvas a colpo d'occhio — i 9 blocchi su una pagina, formato classico Osterwalder.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Dettaglio per blocco — una sezione completa per ognuno dei 9 blocchi, con contenuto specifico per AlignEdge.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Evoluzione e validazione — come il canvas cambia tra le tre fasi (audit, runtime, optimization), quali assunzioni vanno validate prima, e cosa fare nei prossimi 90 giorni.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Il canvas è uno strumento da rivedere ogni 4-6 settimane. Stampalo, attaccalo al muro, segna a mano cosa cambia man mano che parli con clienti, mentor e investor durante il founder program.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AlignEdge — 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rHeight w:val="5800" w:hRule="atLeast"/>
        </w:trPr>
        <w:tc>
          <w:tcPr>
            <w:tcW w:type="dxa" w:w="187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BF1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Key Partners (KP)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IRT SystemX (R&amp;D + canale Renault/Valeo/Safran)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Politecnico Torino (TTO, I3P, brand)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Beihang University (compute CN, talento)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HuggingFace (catalogo modelli open-source)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Modal / AWS (cloud compute per audit)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System integrator automotive (futuro)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AI Act compliance consultants (futuro)</w:t>
            </w:r>
          </w:p>
        </w:tc>
        <w:tc>
          <w:tcPr>
            <w:tcW w:type="dxa" w:w="187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Key Activities (KA)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Esecuzione audit (eng + report)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Sviluppo DMCA runtime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Mantenimento HW lab (Nano/Pi/Orin)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Sales diretto + customer success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R&amp;D drift signatures + optimization paths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Documentazione AI Act / ISO 21448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Content marketing + paper accademici</w:t>
            </w:r>
          </w:p>
        </w:tc>
        <w:tc>
          <w:tcPr>
            <w:tcW w:type="dxa" w:w="187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Propositions (VP)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CENTRALE — “Il vostro modello AI resta in produzione”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AUDIT — Test indipendente on-hardware (15-50k€, 2-3 settimane, no integration)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RUNTIME — Drift detect 92% + selection automatica + audit trail AI Act-ready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OPTIMIZATION — Cross-vendor path picking (TensorRT/OpenVINO/ONNX/AIMET)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Edge: l’unica offerta combinata on-HW + on-data + drift coverage productized</w:t>
            </w:r>
          </w:p>
        </w:tc>
        <w:tc>
          <w:tcPr>
            <w:tcW w:type="dxa" w:w="187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Customer Relationships (CR)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Audit: high-touch project-based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Runtime: enterprise SaaS + dedicated CSM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Co-development con design partner iniziali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Community open-source (framework MIT)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Posizionamento AI Act compliance advisor</w:t>
            </w:r>
          </w:p>
        </w:tc>
        <w:tc>
          <w:tcPr>
            <w:tcW w:type="dxa" w:w="187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BF1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Customer Segments (CS)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TIER-1 AUTO PdM (primario): Valeo, Bosch, ZF, Continental, Magna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INDUSTRIAL ROBOTICS OEM (secondario): KUKA, Fanuc, ABB, UR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ENERGY/UTILITY (audit): Enel X, EDF, ABB Hitachi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DEFENSE (audit): Leonardo, Thales, Airbus Defence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MEDICAL EDGE (audit, late): Olympus, Stryker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Buyer DMCA: Head of ML Eng / Industry 4.0 Lead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Buyer Audit: ML Tech Lead / VP Eng edge</w:t>
            </w:r>
          </w:p>
        </w:tc>
      </w:tr>
      <w:tr>
        <w:trPr>
          <w:trHeight w:val="4400" w:hRule="atLeast"/>
        </w:trPr>
        <w:tc>
          <w:tcPr>
            <w:tcW w:type="dxa" w:w="1872"/>
            <w:tcBorders>
              <w:top w:val="single" w:color="1F4E79" w:sz="8"/>
              <w:left w:val="single" w:color="1F4E79" w:sz="8"/>
              <w:bottom w:val="single" w:color="1F4E79" w:sz="8"/>
              <w:right w:val="nil"/>
            </w:tcBorders>
            <w:shd w:fill="EBF1F8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Key Resources (KR)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Framework DMCA (Python, MIT-licensed)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Drift classifier v3.1.1 (92% accuracy held-out)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Hardware lab (Jetson Nano + Pi 4 + Orin NX)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AUDIT DATASET (cresce con ogni cliente — il VERO moat)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Benchmark database canonico ($0.30 GPU)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Credibilità accademica (Polito + Beihang + SystemX)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Strategia IP 3-layer documentata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Founder + futuro team</w:t>
            </w:r>
          </w:p>
        </w:tc>
        <w:tc>
          <w:tcPr>
            <w:tcW w:type="dxa" w:w="1872"/>
            <w:tcBorders>
              <w:top w:val="single" w:color="1F4E79" w:sz="8"/>
              <w:left w:val="nil"/>
              <w:bottom w:val="single" w:color="1F4E79" w:sz="8"/>
              <w:right w:val="nil"/>
            </w:tcBorders>
            <w:shd w:fill="1F4E79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Channels (CH)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Cold outreach diretto LinkedIn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Conferenze: TinyML Summit, EdgeAI, Hannover Messe, IAA, ICRA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Consorzi: Plattform Industrie 4.0, ETSI Edge, Manufacturing-X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Partnership accademiche (SystemX → tier-1 auto)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Founder program (current)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Content + paper (loss leader credibility)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Re-seller automotive integrators (futuro)</w:t>
            </w:r>
          </w:p>
        </w:tc>
        <w:tc>
          <w:tcPr>
            <w:tcW w:type="dxa" w:w="1872"/>
            <w:tcBorders>
              <w:top w:val="single" w:color="1F4E79" w:sz="8"/>
              <w:left w:val="nil"/>
              <w:bottom w:val="single" w:color="1F4E79" w:sz="8"/>
              <w:right w:val="single" w:color="1F4E79" w:sz="8"/>
            </w:tcBorders>
            <w:shd w:fill="EBF1F8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rPr>
          <w:trHeight w:val="4200" w:hRule="atLeast"/>
        </w:trPr>
        <w:tc>
          <w:tcPr>
            <w:tcW w:type="dxa" w:w="3744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4E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Cost Structure (C$)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Engineering headcount (3-5 in Y1: 1-2 founder + 1-2 ML eng + 1 sales)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Hardware lab (~€20k iniziale, scaling)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Cloud compute audit (€1-5k per audit)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Stipendi (CN eng vs EU sales mix)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Legal/IP (incorporation, term sheet review, trademark)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Compliance (CE, AI Act, ISO documentation)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Marketing (conference sponsorship, content)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MOSTLY FIXED — alta capital efficiency dimostrata ($0.30 benchmark)</w:t>
            </w:r>
          </w:p>
        </w:tc>
        <w:tc>
          <w:tcPr>
            <w:tcW w:type="dxa" w:w="1872"/>
            <w:tcBorders>
              <w:top w:val="single" w:color="1F4E79" w:sz="8"/>
              <w:left w:val="nil"/>
              <w:bottom w:val="single" w:color="1F4E79" w:sz="8"/>
              <w:right w:val="nil"/>
            </w:tcBorders>
            <w:shd w:fill="FFFFFF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3744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Revenue Streams (RS)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AUDIT one-shot: €15-50k per engagement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Remediation by optimization: €30-80k project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DMCA RUNTIME subscription: €60-250k/anno/site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DMCA FLEET multi-site: €300k-1M+/anno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Optimization Orchestration module (uplift 30-40% su Runtime ACV)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Futuro: licensing audit dataset insights → HW vendor</w:t>
            </w:r>
          </w:p>
          <w:p>
            <w:pPr>
              <w:spacing w:after="40" w:line="240"/>
            </w:pPr>
            <w:r>
              <w:rPr>
                <w:color w:val="1F1F1F"/>
                <w:sz w:val="16"/>
                <w:szCs w:val="16"/>
              </w:rPr>
              <w:t xml:space="preserve">• Futuro: certificazione AI Act-ready training teams</w:t>
            </w:r>
          </w:p>
        </w:tc>
      </w:tr>
    </w:tbl>
    <w:p>
      <w:pPr>
        <w:spacing w:before="200"/>
        <w:jc w:val="center"/>
      </w:pPr>
      <w:r>
        <w:rPr>
          <w:i/>
          <w:iCs/>
          <w:color w:val="808080"/>
          <w:sz w:val="16"/>
          <w:szCs w:val="16"/>
        </w:rPr>
        <w:t xml:space="preserve">Versione 1.0 · 29.06.2026 · da rivedere ogni 4-6 settimane</w:t>
      </w:r>
    </w:p>
    <w:p>
      <w:r>
        <w:br w:type="page"/>
      </w:r>
    </w:p>
    <w:p>
      <w:pPr>
        <w:pStyle w:val="Heading1"/>
        <w:spacing w:after="180" w:before="360"/>
      </w:pPr>
      <w:r>
        <w:t xml:space="preserve">Dettaglio per blocco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Le sezioni che seguono espandono i 9 blocchi con il razionale di ogni voce, le ipotesi sottostanti, e i rischi noti. Leggi questa parte una volta a freddo; rileggi i blocchi specifici quando devi prendere decisioni di pricing, sales, o team.</w:t>
      </w:r>
    </w:p>
    <w:p>
      <w:pPr>
        <w:pStyle w:val="Heading2"/>
        <w:spacing w:after="120" w:before="240"/>
      </w:pPr>
      <w:r>
        <w:t xml:space="preserve">1 · Customer Segments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Due segmenti distinti per due prodotti diversi. L'audit è horizontal (largo), il runtime è vertical (stretto). Questa separazione è strutturale, non temporanea.</w:t>
      </w:r>
    </w:p>
    <w:p>
      <w:pPr>
        <w:pStyle w:val="Heading3"/>
        <w:spacing w:after="100" w:before="180"/>
      </w:pPr>
      <w:r>
        <w:t xml:space="preserve">ICP primario DMCA Runtime — Tier-1 automotive PdM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Valeo, Bosch, ZF, Continental, Magna, Aptiv — tier-1 suppliers che producono ECU, sensori, sistemi ADAS.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Pain reale: fleet di hardware diverso (ECU di generazioni multiple), pressione AI Act + ISO 21448 + ISO 26262, costo downtime $2.3M/h.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Buyer persona: Head of ML Engineering, Director of Industrial Operations, Industry 4.0 Lead. Budget annuale ML ops: €5-30M.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Decision cycle: 6-12 mesi. Pilot prima del contratto enterprise.</w:t>
      </w:r>
    </w:p>
    <w:p>
      <w:pPr>
        <w:pStyle w:val="Heading3"/>
        <w:spacing w:after="100" w:before="180"/>
      </w:pPr>
      <w:r>
        <w:t xml:space="preserve">Audit horizontal — chiunque deploya FM su edge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Industrial robotics OEM: KUKA, Fanuc, ABB, Universal Robots.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Smart factory operator: Stellantis, Toyota, Siemens plants.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Energy/utility analytics: Enel X, EDF, ABB Hitachi.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Defense edge: Leonardo, Thales, Airbus Defence (geopolitica complica IT/CN positioning).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Medical edge: Olympus, Stryker robotics (sales cycle lungo, ICP late).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Telco edge / ORAN: tier-2 operator con investimento in inference su radio access network.</w:t>
      </w:r>
    </w:p>
    <w:p>
      <w:pPr>
        <w:pStyle w:val="Heading3"/>
        <w:spacing w:after="100" w:before="180"/>
      </w:pPr>
      <w:r>
        <w:t xml:space="preserve">Anti-personas (a chi NON vendere)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Startup AI che fanno il proprio modello — vogliono andare veloci, non auditare.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Aziende cloud-first senza vera presenza edge.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PMI manifatturiere senza team ML dedicato — non hanno budget per €15k audit.</w:t>
      </w:r>
    </w:p>
    <w:p>
      <w:pPr>
        <w:pStyle w:val="Heading2"/>
        <w:spacing w:after="120" w:before="240"/>
      </w:pPr>
      <w:r>
        <w:t xml:space="preserve">2 · Value Propositions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Una proposta centrale, tre prodotti specifici che la realizzano.</w:t>
      </w:r>
    </w:p>
    <w:p>
      <w:pPr>
        <w:pStyle w:val="Heading3"/>
        <w:spacing w:after="100" w:before="180"/>
      </w:pPr>
      <w:r>
        <w:t xml:space="preserve">Centrale — “Il vostro modello AI resta in produzione”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Reframing del problema: non vendiamo migliore accuracy, vendiamo durata del modello in produzione. Coverage &gt; accuracy. Survive &gt; optimize. Questa è la frase che differenzia AlignEdge da MLOps tools.</w:t>
      </w:r>
    </w:p>
    <w:p>
      <w:pPr>
        <w:pStyle w:val="Heading3"/>
        <w:spacing w:after="100" w:before="180"/>
      </w:pPr>
      <w:r>
        <w:t xml:space="preserve">Audit (Fase 1) — Test indipendente on-hardware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Per: chiunque ha modelli in produzione o pre-produzione. Tempo: 2-3 settimane. Prezzo: €15-50k. Deliverable: report 15-20 pagine + dashboard temporanea.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Differenziatore: nessuno fa il combinato “on-customer-hardware + on-customer-data + sotto SLA reale + drift coverage + productized”. MLPerf benchmarka su HW reference. Edge Impulse ti fa buildare con loro. Arize è cloud. Consultancies fanno one-off non productized.</w:t>
      </w:r>
    </w:p>
    <w:p>
      <w:pPr>
        <w:pStyle w:val="Heading3"/>
        <w:spacing w:after="100" w:before="180"/>
      </w:pPr>
      <w:r>
        <w:t xml:space="preserve">DMCA Runtime (Fase 2) — Closed-loop maintenance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Per: tier-1 automotive PdM principalmente. Pipeline 5-stage: DT profiling → TOPSIS selection → quality gate → drift detect (92% accuracy, 0% FAR) → re-alignment con operatore in the loop. Audit trail JSONL AI Act-ready.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Differenziatore: closed-loop autonomo + XAI conversazionale + audit trail per compliance. ML observability vendor (Arize, Fiddler) si fermano al detect — non riallineano e non sono hardware-aware.</w:t>
      </w:r>
    </w:p>
    <w:p>
      <w:pPr>
        <w:pStyle w:val="Heading3"/>
        <w:spacing w:after="100" w:before="180"/>
      </w:pPr>
      <w:r>
        <w:t xml:space="preserve">Optimization Orchestration (Fase 3) — Cross-vendor path picking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Per: customer con fleet multi-vendor (NVIDIA + Intel + Qualcomm + ARM). TOPSIS esteso a (modello × optimization_path).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Differenziatore: il vuoto post-OctoML. Modular e MLC building bottom-up dal compiler. Noi top-down dal decision system. Non competiamo con TensorRT/OpenVINO — li usiamo come building block, scegliamo quale invocare.</w:t>
      </w:r>
    </w:p>
    <w:p>
      <w:pPr>
        <w:pStyle w:val="Heading2"/>
        <w:spacing w:after="120" w:before="240"/>
      </w:pPr>
      <w:r>
        <w:t xml:space="preserve">3 · Channels</w:t>
      </w:r>
    </w:p>
    <w:p>
      <w:pPr>
        <w:pStyle w:val="Heading3"/>
        <w:spacing w:after="100" w:before="180"/>
      </w:pPr>
      <w:r>
        <w:t xml:space="preserve">Acquisizione (top of funnel)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Cold outreach LinkedIn — ML Tech Lead, VP Engineering, Industry 4.0 Lead. Stato dell'arte 2026 ancora il canale a più alto signal-to-noise per enterprise B2B tech.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Conferenze industry: TinyML Summit (Mountain View, marzo), EdgeAI Conference, Hannover Messe, IAA Mobility, ICRA. Speaker slot se possibile — costa zero in soldi, costa tempo.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Paper accademici (IJAMT joint con SystemX, eventuale IEEE TII): loss leader di credibilità.</w:t>
      </w:r>
    </w:p>
    <w:p>
      <w:pPr>
        <w:pStyle w:val="Heading3"/>
        <w:spacing w:after="100" w:before="180"/>
      </w:pPr>
      <w:r>
        <w:t xml:space="preserve">Conversione (middle of funnel)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Free audit pilot per 3 design partner — barrier-to-entry minima per primo contatto.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Webinar tecnici co-branded con SystemX (Q4 2026) — accesso alla loro audience industrial.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Case study di 1-2 pagine pubblicabili dopo ogni audit — sales asset per il prossimo.</w:t>
      </w:r>
    </w:p>
    <w:p>
      <w:pPr>
        <w:pStyle w:val="Heading3"/>
        <w:spacing w:after="100" w:before="180"/>
      </w:pPr>
      <w:r>
        <w:t xml:space="preserve">Espansione (bottom of funnel)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Customer success dedicato per ogni Runtime customer — upsell verso Fleet contract e Optimization module.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Re-seller automotive integrator (futuro): aziende come EFI Automotive, AVL, IAV già vendono ai tier-1 — possono includere AlignEdge nel bundle integration.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Account-based marketing su top 20 tier-1 EU+CN — playbook 6-12 mesi di engagement strutturato.</w:t>
      </w:r>
    </w:p>
    <w:p>
      <w:pPr>
        <w:pStyle w:val="Heading2"/>
        <w:spacing w:after="120" w:before="240"/>
      </w:pPr>
      <w:r>
        <w:t xml:space="preserve">4 · Customer Relationships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Audit: high-touch, project-based. Founder o senior engineer guida l'engagement. Relazione termina con il delivery + follow-up commerciale a 30 giorni.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Runtime: enterprise SaaS con CSM (Customer Success Manager) dedicato per ogni account ≥€100k/anno. QBR (Quarterly Business Review).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Co-development con i primi 3-5 design partner. Loro feedback orienta roadmap. In cambio: pricing scontato i primi 12 mesi, partecipazione al case study marketing.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Community open-source intorno al framework DMCA: GitHub, Discord, paper publication. Acquisizione bottom-up di mindshare ML engineering.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Posizionamento di AlignEdge come AI Act compliance advisor: webinar, white paper, partecipazione a working group ETSI / CEN-CENELEC. Premium support per chi cerca compliance pronta.</w:t>
      </w:r>
    </w:p>
    <w:p>
      <w:pPr>
        <w:pStyle w:val="Heading2"/>
        <w:spacing w:after="120" w:before="240"/>
      </w:pPr>
      <w:r>
        <w:t xml:space="preserve">5 ·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800"/>
        <w:gridCol w:w="156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Recurring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 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Audit (one-shot)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€15-50k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70-80%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Remediation by optimization (project)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€30-80k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60-70%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DMCA Runtime (subscription, single site)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€60-250k/anno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75-85%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DMCA Fleet (multi-site)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€300k-1M+/anno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80-90%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Optimization module (add-on)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+30-40% su ACV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85%+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Dataset licensing (futuro)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SÌ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90%+</w:t>
            </w:r>
          </w:p>
        </w:tc>
      </w:tr>
    </w:tbl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Mix target a 36 mesi: 30% audit + remediation (acquisition vehicle), 60% Runtime subscription, 10% Optimization module e dataset. ARR target Q4 2028: €1.5M.</w:t>
      </w:r>
    </w:p>
    <w:p>
      <w:pPr>
        <w:pStyle w:val="Heading2"/>
        <w:spacing w:after="120" w:before="240"/>
      </w:pPr>
      <w:r>
        <w:t xml:space="preserve">6 · Key Resources</w:t>
      </w:r>
    </w:p>
    <w:p>
      <w:pPr>
        <w:pStyle w:val="Heading3"/>
        <w:spacing w:after="100" w:before="180"/>
      </w:pPr>
      <w:r>
        <w:t xml:space="preserve">Tangibili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Codice framework DMCA (5 stage) — Python, MIT-licensed core, ~15k LOC.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Drift classifier v3.1.1 — 8 feature, decision tree first-match-wins, validato su 5 tipi drift.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Hardware lab fisico: Jetson Nano + Raspberry Pi 4 + Jetson Orin NX. Espansione: Intel x86 NUC, Qualcomm Snapdragon dev kit, Apple M-series.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Benchmark dataset canonico ($0.30 su NVIDIA T4 via Modal) — 8 modelli foundation × 2 dataset PdM.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Simulator missed-alarm cascade — validato su PRONOSTIA + IMS Center.</w:t>
      </w:r>
    </w:p>
    <w:p>
      <w:pPr>
        <w:pStyle w:val="Heading3"/>
        <w:spacing w:after="100" w:before="180"/>
      </w:pPr>
      <w:r>
        <w:t xml:space="preserve">Intangibili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Audit dataset proprietario — il vero moat strategico. Cresce con ogni cliente. Impossibile da replicare da new entrant senza customer.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Hardware calibration table — empirico T4→Nano→Orin→Pi per centinaia di model architectures. Asset di domain knowledge.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Credibilità accademica: collaborazione attiva IRT SystemX, joint paper IJAMT in scrittura, brand Polito + Beihang.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Strategia IP a 3 layer documentata — riduce rischio legale in negoziazioni successive.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Network bilateral IT/CN — accesso a fundraising e talent pool su due ecosistemi.</w:t>
      </w:r>
    </w:p>
    <w:p>
      <w:pPr>
        <w:pStyle w:val="Heading3"/>
        <w:spacing w:after="100" w:before="180"/>
      </w:pPr>
      <w:r>
        <w:t xml:space="preserve">Persone (Y1 target)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Kevin Omede — founder, CTO funzionale + sales lead iniziale.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Co-founder commerciale (da trovare al founder program o in Q3-Q4 2026) — background ML/MLOps sales tier-1.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2 ML engineer (Q1 2027): 1 senior runtime, 1 mid-level audit harness.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1 customer success / sales BD (Q2 2027).</w:t>
      </w:r>
    </w:p>
    <w:p>
      <w:pPr>
        <w:pStyle w:val="Heading2"/>
        <w:spacing w:after="120" w:before="240"/>
      </w:pPr>
      <w:r>
        <w:t xml:space="preserve">7 · Key Activities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Esecuzione audit: ricezione modello cliente → setup pipeline su HW lab → run + analisi → report production → presentation.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Sviluppo + manutenzione DMCA runtime: nuove versioni drift classifier, espansione catalogo modelli ammissibili, integrazione con DT customer.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Mantenimento HW lab: hardware refresh ogni 12-18 mesi, espansione a nuovi profili.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Sales: outbound diretto, demo, contract negotiation. Founder-led inizialmente.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Customer success: audit-to-runtime conversion, runtime renewal, fleet expansion.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R&amp;D: nuove drift signatures per vertical, optimization paths per nuovi HW (Qualcomm, Apple), nuovi modelli foundation.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Compliance: documentazione AI Act, ISO 21448 mapping, audit trail format standard per i customer.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Content + accademia: paper, blog tecnici, conference talks, open-source contribution.</w:t>
      </w:r>
    </w:p>
    <w:p>
      <w:pPr>
        <w:pStyle w:val="Heading2"/>
        <w:spacing w:after="120" w:before="240"/>
      </w:pPr>
      <w:r>
        <w:t xml:space="preserve">8 · Key Partners</w:t>
      </w:r>
    </w:p>
    <w:p>
      <w:pPr>
        <w:pStyle w:val="Heading3"/>
        <w:spacing w:after="100" w:before="180"/>
      </w:pPr>
      <w:r>
        <w:t xml:space="preserve">Strategici (presenti)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IRT SystemX (Palaiseau): R&amp;D partner + canale indiretto a Renault, Valeo, Airbus, Safran, Thales. Joint paper IJAMT in scrittura.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Politecnico di Torino: TTO (RIMIN + TRIN), incubatore I3P, brand accademico, possibile equity claim da gestire pre-incorporation.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Beihang University: co-supervisione Prof. Yi Li, accesso GPU compute futura, ecosistema startup cinese.</w:t>
      </w:r>
    </w:p>
    <w:p>
      <w:pPr>
        <w:pStyle w:val="Heading3"/>
        <w:spacing w:after="100" w:before="180"/>
      </w:pPr>
      <w:r>
        <w:t xml:space="preserve">Strategici (da costruire)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HuggingFace: fornitore catalogo modelli. Eventuale partnership formale come “HuggingFace Edge Deployment Partner” se TOPSIS-as-service viene integrato.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NVIDIA / Intel / Qualcomm: paradossale — sono i HW vendor di cui orchestriamo gli ottimizzatori. Relazione delicata: né competitor né alleato pieno. Strategia: rimanere agnostici, evitare lock-in commerciale.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AI Act compliance consultants (es. KPMG, Deloitte): canale per vendere il modulo compliance del Runtime.</w:t>
      </w:r>
    </w:p>
    <w:p>
      <w:pPr>
        <w:pStyle w:val="Heading3"/>
        <w:spacing w:after="100" w:before="180"/>
      </w:pPr>
      <w:r>
        <w:t xml:space="preserve">Operativi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Modal / AWS / GCP: cloud compute per audit + runtime hosting. Multi-cloud per resilience.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Legal cross-border IT/CN: avvocato deep-tech per term sheet, incorporation, IP.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Eventuale system integrator automotive (EFI, AVL, IAV) come canale re-seller in Q3 2027+.</w:t>
      </w:r>
    </w:p>
    <w:p>
      <w:pPr>
        <w:pStyle w:val="Heading2"/>
        <w:spacing w:after="120" w:before="240"/>
      </w:pPr>
      <w:r>
        <w:t xml:space="preserve">9 · Cost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800"/>
        <w:gridCol w:w="21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Y1 (€)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Stipendi tecnici (3 FTE)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180-280k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Fisso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Mix IT/CN per cost optimization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Stipendi commerciali (1 FTE + founder)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80-120k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Fisso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CSM + BD junior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Hardware lab (espansione + maint)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20-40k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Una-tantum + manut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3-5 dev kit + storage + power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Cloud compute (audit + runtime)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15-40k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Variabile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Scala con #audit + #site Runtime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Legal / IP / incorporation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25-50k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Una-tantum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 sheet review, trademark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Compliance/cert preparation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10-25k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Misto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Act docs, ISO mapping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Marketing (conf + content)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20-40k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Fisso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Conference sponsorship + content prod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Office + infrastruttura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5-15k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Fisso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Distributed-first, minimal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TOTALE Y1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355-610k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Runway 18 mesi da pre-seed €500k-1M</w:t>
            </w:r>
          </w:p>
        </w:tc>
      </w:tr>
    </w:tbl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Driver chiave: 75-85% del costo è stipendi. Capital efficiency dimostrata empiricamente: benchmark canonico $0.30 su T4 dimostra che si può fare ricerca seria con compute minimale. Lo stesso disciplinato approccio si applica a runway management.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Evoluzione del canvas per fase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 9 blocchi non sono statici — cambiano peso e composizione man mano che il business passa da Fase 1 (audit wedge) a Fase 2 (DMCA runtime core) a Fase 3 (optimization platform). Riferimento essenziale per prioritization.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Blocco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 1 — Audit (Y1)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 2 — Runtime (Y2-3)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 3 — Optimization (Y3+)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Customer Segments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Horizontal: 5-6 vertical paralleli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Vertical stretto: tier-1 auto + robotics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Platform: chiunque con fleet multi-vendor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Value Prop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 indipendente, fact-finding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Modello resta in produzione, compliance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Decision system cross-vendor, scale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Channels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Cold outreach diretto + accademico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Conferenze + co-marketing partner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Re-seller automotive + HF partnership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Cust Rel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Project-based, high-touch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Enterprise SaaS + CSM dedicato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 + community + premium tier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Revenue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One-shot project, ARR=0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70% subscription, 30% audit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80%+ subscription, optimization add-on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 Resources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HW lab + framework + founder team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 Audit dataset cresciuto + CSM team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 Cross-vendor calibration DB scala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 Activities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audit + content + sales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 Develop runtime + customer success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 Maintain optimizer integrations + R&amp;D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 Partners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SystemX + accademia + I3P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 HW vendor relations + compliance cons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 HuggingFace + Modular/MLC ecosystem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 Structure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Bootstrap + pre-seed, 3-4 FTE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Seed/A, 8-12 FTE, CSM team</w:t>
            </w:r>
          </w:p>
        </w:tc>
        <w:tc>
          <w:tcPr>
            <w:tcW w:type="dxa" w:w="2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A+/B, 25-40 FTE, multi-region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Assunzioni chiave da validare nei prossimi 90 giorni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Ogni canvas nuovo è basato su assunzioni — molte saranno sbagliate. La differenza tra un buon founder e uno cattivo è la velocità con cui si scoprono quali. Lista priorizzata, ordine di criticità:</w:t>
      </w:r>
    </w:p>
    <w:p>
      <w:pPr>
        <w:pStyle w:val="Heading3"/>
        <w:spacing w:after="100" w:before="180"/>
      </w:pPr>
      <w:r>
        <w:t xml:space="preserve">Assunzione 1 — Esiste willingness-to-pay per audit a €15-50k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Come validarla: 3 conversazioni esplorative con potenziali clienti (idealmente tramite mentor del programma) con la frase: “Se vi vendessimo un audit on-hardware del vostro modello per X euro, in 3 settimane, lo comprereste? Quanto sarebbe troppo? Quanto sarebbe troppo poco?” Va validata nelle prime 4 settimane.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Rischio: se il pricing reale è &lt;€10k, l'unità economica del wedge non funziona — sostituire con audit semi-automatico e self-service. Se è &gt;€80k, mossa opposta: investire in delivery quality e brand premium.</w:t>
      </w:r>
    </w:p>
    <w:p>
      <w:pPr>
        <w:pStyle w:val="Heading3"/>
        <w:spacing w:after="100" w:before="180"/>
      </w:pPr>
      <w:r>
        <w:t xml:space="preserve">Assunzione 2 — Tier-1 automotive accettano un "audit indipendente" come vendor outsider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Come validarla: tramite SystemX o cold outreach a Valeo/Bosch — chiedere se hanno fatto audit ML esterni in passato, da chi, a che condizioni. Settimane 2-6.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Rischio: se mandano tutto al loro internal team, ICP shift verso tier-2 / robotics OEM dove c'è meno headcount ML interno.</w:t>
      </w:r>
    </w:p>
    <w:p>
      <w:pPr>
        <w:pStyle w:val="Heading3"/>
        <w:spacing w:after="100" w:before="180"/>
      </w:pPr>
      <w:r>
        <w:t xml:space="preserve">Assunzione 3 — Il problema del missed-alarm risuona emotivamente con i buyer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Come validarla: pitchare il caso Bearing 3_2 in 3-5 prime conversazioni e misurare la reazione. Se chiedono di rivedere i numeri, sei dentro. Se annuiscono educati, il framing è sbagliato.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Rischio: se il missed-alarm non è il pain principale, swap framing verso “compliance AI Act” o “MLOps cost reduction”.</w:t>
      </w:r>
    </w:p>
    <w:p>
      <w:pPr>
        <w:pStyle w:val="Heading3"/>
        <w:spacing w:after="100" w:before="180"/>
      </w:pPr>
      <w:r>
        <w:t xml:space="preserve">Assunzione 4 — Cross-vendor optimization è un pain reale, non solo speculativo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Come validarla: domanda diretta a mentor: “Quanti dei vostri portfolio company con edge AI hanno un FTE solo per gestire optimization across vendor?” Se la risposta media è &gt;3, il pain è confermato. Se è 0-1, Fase 3 va riposizionata o spostata più in là.</w:t>
      </w:r>
    </w:p>
    <w:p>
      <w:pPr>
        <w:pStyle w:val="Heading3"/>
        <w:spacing w:after="100" w:before="180"/>
      </w:pPr>
      <w:r>
        <w:t xml:space="preserve">Assunzione 5 — Il dataset audit ha valore proprietario reale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Come validarla: dopo i primi 3 audit, valutare se i pattern emersi sono effettivamente generalizzabili o solo aneddotici. Se i pattern non si trasferiscono, il moat è più debole del previsto — focus sull'esecuzione.</w:t>
      </w:r>
    </w:p>
    <w:p>
      <w:pPr>
        <w:pStyle w:val="Heading1"/>
        <w:spacing w:after="180" w:before="360"/>
      </w:pPr>
      <w:r>
        <w:t xml:space="preserve">Cosa fare nei prossimi 90 giorni (29 giu - 27 set)</w:t>
      </w:r>
    </w:p>
    <w:p>
      <w:pPr>
        <w:pStyle w:val="Heading2"/>
        <w:spacing w:after="120" w:before="240"/>
      </w:pPr>
      <w:r>
        <w:t xml:space="preserve">Settimane 1-2 (29 giu - 12 lug) — Founder program + tesi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Lunedì: kickoff founder program. Pitch in modalità “ascolto + 30-secondi default”.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Martedì-mercoledì: mandare email RIMIN + TRIN al Polito (draft pronti). Obiettivo appuntamento entro il 10 luglio.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Giovedì-venerdì: chiudere moduli Categoria 1 della tesi (assets/, topsis_ranker, quality_gate). Pre-defense slide deck refining.</w:t>
      </w:r>
    </w:p>
    <w:p>
      <w:pPr>
        <w:pStyle w:val="Heading2"/>
        <w:spacing w:after="120" w:before="240"/>
      </w:pPr>
      <w:r>
        <w:t xml:space="preserve">Settimane 3-4 (13 lug - 26 lug) — Difesa + validazione assunzione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Difesa tesi (15-20 luglio target).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3 conversazioni esplorative con design partner candidate. Test pricing audit. Output: pricing reale ± 30%.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Termine joint paper SystemX §5 (Kevin section). Submission tracking.</w:t>
      </w:r>
    </w:p>
    <w:p>
      <w:pPr>
        <w:pStyle w:val="Heading2"/>
        <w:spacing w:after="120" w:before="240"/>
      </w:pPr>
      <w:r>
        <w:t xml:space="preserve">Settimane 5-8 (27 lug - 23 ago) — Design partner outreach + incorporation prep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Cold outreach a 15 tier-1 EU+CN. Target: 3 design partner firmati per audit gratuito entro fine agosto.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Confronto con TRIN per decisione spin-off Polito vs indipendente. Incorporation strategy 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Lavorare con co-founder candidate identificato al founder program. Vesting + ruoli.</w:t>
      </w:r>
    </w:p>
    <w:p>
      <w:pPr>
        <w:pStyle w:val="Heading2"/>
        <w:spacing w:after="120" w:before="240"/>
      </w:pPr>
      <w:r>
        <w:t xml:space="preserve">Settimane 9-12 (24 ago - 27 set) — Primo audit + storia da raccontare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Esecuzione 2-3 audit gratuiti. Iterare deliverable, tempistica, presentation format.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Case study 1-2 pagine pubblicabile dal primo audit + permission da customer.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Soft launch website + manifesto pubblico. Inizia content cadence.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Decisione formale incorporation entro fine settembre.</w:t>
      </w:r>
    </w:p>
    <w:p>
      <w:pPr>
        <w:pStyle w:val="Heading1"/>
        <w:spacing w:after="180" w:before="360"/>
      </w:pPr>
      <w:r>
        <w:t xml:space="preserve">Una nota finale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Il Business Model Canvas è uno strumento di riflessione, non di esecuzione. Vale tanto quanto la frequenza con cui lo rivedi. Stampa la pagina 3 (canvas a colpo d'occhio), attaccala dove la vedi tutti i giorni, segna a penna le revisioni man mano che parli con clienti e mentor. Non aspettare la “versione finale” — non esiste.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differenza tra un canvas teorico e uno operativo è la regolarità con cui le ipotesi vengono testate. Imposta una review formale ogni 4-6 settimane, anche di 30 minuti, anche da solo. Quello è il rituale che mantiene il business model allineato alla realtà.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— K. Omede — 29.06.2026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AlignEdge — Business Model Canvas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AlignEdge — Business Model Canvas</dc:title>
  <dc:creator>Kevin Omede</dc:creator>
  <dc:description>9 blocchi Osterwalder, evoluzione per fase, assunzioni da validare</dc:description>
  <cp:lastModifiedBy>Un-named</cp:lastModifiedBy>
  <cp:revision>1</cp:revision>
  <dcterms:created xsi:type="dcterms:W3CDTF">2026-06-29T09:11:11.655Z</dcterms:created>
  <dcterms:modified xsi:type="dcterms:W3CDTF">2026-06-29T09:11:11.663Z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