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AlignEdge</w:t>
      </w:r>
    </w:p>
    <w:p>
      <w:pPr>
        <w:spacing w:after="1200"/>
        <w:jc w:val="center"/>
      </w:pPr>
      <w:r>
        <w:rPr>
          <w:color w:val="595959"/>
          <w:sz w:val="32"/>
          <w:szCs w:val="32"/>
        </w:rPr>
        <w:t xml:space="preserve">Runtime Maintenance Layer per Edge AI Industriale</w:t>
      </w:r>
    </w:p>
    <w:p>
      <w:pPr>
        <w:spacing w:after="120"/>
        <w:jc w:val="center"/>
      </w:pPr>
      <w:r>
        <w:rPr>
          <w:i/>
          <w:iCs/>
          <w:sz w:val="26"/>
          <w:szCs w:val="26"/>
        </w:rPr>
        <w:t xml:space="preserve">Strategia a 3 fasi: Audit → DMCA Runtime → Cross-Vendor Optimization</w:t>
      </w:r>
    </w:p>
    <w:p>
      <w:pPr>
        <w:spacing w:after="80" w:before="1200"/>
        <w:jc w:val="center"/>
      </w:pPr>
      <w:r>
        <w:rPr>
          <w:b/>
          <w:bCs/>
          <w:sz w:val="24"/>
          <w:szCs w:val="24"/>
        </w:rPr>
        <w:t xml:space="preserve">Kevin Omede</w:t>
      </w:r>
    </w:p>
    <w:p>
      <w:pPr>
        <w:spacing w:after="60"/>
        <w:jc w:val="center"/>
      </w:pPr>
      <w:r>
        <w:rPr>
          <w:color w:val="595959"/>
          <w:sz w:val="22"/>
          <w:szCs w:val="22"/>
        </w:rPr>
        <w:t xml:space="preserve">MSc Politecnico di Torino × Beihang University</w:t>
      </w:r>
    </w:p>
    <w:p>
      <w:pPr>
        <w:spacing w:after="60"/>
        <w:jc w:val="center"/>
      </w:pPr>
      <w:r>
        <w:rPr>
          <w:color w:val="595959"/>
          <w:sz w:val="22"/>
          <w:szCs w:val="22"/>
        </w:rPr>
        <w:t xml:space="preserve">kevinomede2002@gmail.com</w:t>
      </w:r>
    </w:p>
    <w:p>
      <w:pPr>
        <w:spacing w:after="60"/>
        <w:jc w:val="center"/>
      </w:pPr>
      <w:r>
        <w:rPr>
          <w:i/>
          <w:iCs/>
          <w:color w:val="808080"/>
          <w:sz w:val="20"/>
          <w:szCs w:val="20"/>
        </w:rPr>
        <w:t xml:space="preserve">Documento di lavoro — 29 giugno 2026</w:t>
      </w:r>
    </w:p>
    <w:p>
      <w:r>
        <w:br w:type="page"/>
      </w:r>
    </w:p>
    <w:p>
      <w:pPr>
        <w:pStyle w:val="Heading1"/>
        <w:spacing w:after="180" w:before="360"/>
      </w:pPr>
      <w:r>
        <w:t xml:space="preserve">1 · Executive Summary</w:t>
      </w:r>
    </w:p>
    <w:p>
      <w:pPr>
        <w:spacing w:after="120" w:line="300"/>
        <w:jc w:val="left"/>
      </w:pPr>
      <w:r>
        <w:rPr>
          <w:b w:val="false"/>
          <w:bCs w:val="false"/>
          <w:i w:val="false"/>
          <w:iCs w:val="false"/>
          <w:sz w:val="22"/>
          <w:szCs w:val="22"/>
        </w:rPr>
        <w:t xml:space="preserve">AlignEdge è il runtime maintenance layer per modelli AI deployati su edge industriali. I modelli si degradano in produzione — nuovi sensori, hardware diverso, drift del segnale — e oggi nessuno gestisce questo ciclo in modo automatico. Si redeploya a mano, mesi dopo che il modello ha smesso di funzionare.</w:t>
      </w:r>
    </w:p>
    <w:p>
      <w:pPr>
        <w:spacing w:after="120" w:line="300"/>
        <w:jc w:val="left"/>
      </w:pPr>
      <w:r>
        <w:rPr>
          <w:b w:val="false"/>
          <w:bCs w:val="false"/>
          <w:i w:val="false"/>
          <w:iCs w:val="false"/>
          <w:sz w:val="22"/>
          <w:szCs w:val="22"/>
        </w:rPr>
        <w:t xml:space="preserve">La nostra tesi: la manutenzione del modello è al modello AI ciò che la manutenzione predittiva è alle macchine. Un layer di runtime, non di training. Mercato nascente, no incumbent diretto, finestra di 18–24 mesi prima che NVIDIA o un MLOps platform vendor occupi lo spazio.</w:t>
      </w:r>
    </w:p>
    <w:p>
      <w:pPr>
        <w:pStyle w:val="Heading3"/>
        <w:spacing w:after="100" w:before="180"/>
      </w:pPr>
      <w:r>
        <w:t xml:space="preserve">Strategia a tre fasi</w:t>
      </w:r>
    </w:p>
    <w:p>
      <w:pPr>
        <w:pStyle w:val="ListParagraph"/>
        <w:numPr>
          <w:ilvl w:val="0"/>
          <w:numId w:val="2"/>
        </w:numPr>
        <w:spacing w:after="80" w:line="280"/>
      </w:pPr>
      <w:r>
        <w:rPr>
          <w:sz w:val="22"/>
          <w:szCs w:val="22"/>
        </w:rPr>
        <w:t xml:space="preserve">Audit on-hardware (wedge horizontal): vendiamo un report standardizzato che dice quali modelli reggono SLA, drift e hardware reali del cliente. Sales cycle breve, ICP largo, costruisce reference e dataset proprietario.</w:t>
      </w:r>
    </w:p>
    <w:p>
      <w:pPr>
        <w:pStyle w:val="ListParagraph"/>
        <w:numPr>
          <w:ilvl w:val="0"/>
          <w:numId w:val="2"/>
        </w:numPr>
        <w:spacing w:after="80" w:line="280"/>
      </w:pPr>
      <w:r>
        <w:rPr>
          <w:sz w:val="22"/>
          <w:szCs w:val="22"/>
        </w:rPr>
        <w:t xml:space="preserve">DMCA Runtime (core, vertical): pipeline 5-stage closed-loop che fa drift detection → model selection via TOPSIS → quality gate → swap atomico → audit trail. Subscription recurring, ICP stretto (tier-1 automotive PdM).</w:t>
      </w:r>
    </w:p>
    <w:p>
      <w:pPr>
        <w:pStyle w:val="ListParagraph"/>
        <w:numPr>
          <w:ilvl w:val="0"/>
          <w:numId w:val="2"/>
        </w:numPr>
        <w:spacing w:after="80" w:line="280"/>
      </w:pPr>
      <w:r>
        <w:rPr>
          <w:sz w:val="22"/>
          <w:szCs w:val="22"/>
        </w:rPr>
        <w:t xml:space="preserve">Cross-Vendor Optimization Orchestration (platform, scaling): TOPSIS esteso a (modello × optimization path) — TensorRT, OpenVINO, ONNX Runtime, AIMET. Cattura il vuoto lasciato da OctoML post-acquisizione NVIDIA. Visione platform per Series A.</w:t>
      </w:r>
    </w:p>
    <w:p>
      <w:pPr>
        <w:pStyle w:val="Heading3"/>
        <w:spacing w:after="100" w:before="180"/>
      </w:pPr>
      <w:r>
        <w:t xml:space="preserve">Trazione attuale (giugno 2026)</w:t>
      </w:r>
    </w:p>
    <w:p>
      <w:pPr>
        <w:pStyle w:val="ListParagraph"/>
        <w:numPr>
          <w:ilvl w:val="0"/>
          <w:numId w:val="3"/>
        </w:numPr>
        <w:spacing w:after="80" w:line="280"/>
      </w:pPr>
      <w:r>
        <w:rPr>
          <w:sz w:val="22"/>
          <w:szCs w:val="22"/>
        </w:rPr>
        <w:t xml:space="preserve">Framework DMCA implementato end-to-end (5 stage), drift classifier v3.1.1 al 92% held-out su 5 tipi di drift.</w:t>
      </w:r>
    </w:p>
    <w:p>
      <w:pPr>
        <w:pStyle w:val="ListParagraph"/>
        <w:numPr>
          <w:ilvl w:val="0"/>
          <w:numId w:val="3"/>
        </w:numPr>
        <w:spacing w:after="80" w:line="280"/>
      </w:pPr>
      <w:r>
        <w:rPr>
          <w:sz w:val="22"/>
          <w:szCs w:val="22"/>
        </w:rPr>
        <w:t xml:space="preserve">Benchmark canonici: 8 modelli foundation × 2 dataset PdM su GPU T4, costo totale $0.30.</w:t>
      </w:r>
    </w:p>
    <w:p>
      <w:pPr>
        <w:pStyle w:val="ListParagraph"/>
        <w:numPr>
          <w:ilvl w:val="0"/>
          <w:numId w:val="3"/>
        </w:numPr>
        <w:spacing w:after="80" w:line="280"/>
      </w:pPr>
      <w:r>
        <w:rPr>
          <w:sz w:val="22"/>
          <w:szCs w:val="22"/>
        </w:rPr>
        <w:t xml:space="preserve">Validazione missed-alarm cascade su PRONOSTIA (PHM 2012 Challenge): alarm density ratio 10.4× PatchTST/Moirai-S; replicato su IMS Center con ratio 11.6× (cross-regime coerente).</w:t>
      </w:r>
    </w:p>
    <w:p>
      <w:pPr>
        <w:pStyle w:val="ListParagraph"/>
        <w:numPr>
          <w:ilvl w:val="0"/>
          <w:numId w:val="3"/>
        </w:numPr>
        <w:spacing w:after="80" w:line="280"/>
      </w:pPr>
      <w:r>
        <w:rPr>
          <w:sz w:val="22"/>
          <w:szCs w:val="22"/>
        </w:rPr>
        <w:t xml:space="preserve">Collaborazione di ricerca attiva con IRT SystemX (Palaiseau) — accesso indiretto a Renault, Valeo, Airbus, Safran, Thales.</w:t>
      </w:r>
    </w:p>
    <w:p>
      <w:pPr>
        <w:pStyle w:val="ListParagraph"/>
        <w:numPr>
          <w:ilvl w:val="0"/>
          <w:numId w:val="3"/>
        </w:numPr>
        <w:spacing w:after="80" w:line="280"/>
      </w:pPr>
      <w:r>
        <w:rPr>
          <w:sz w:val="22"/>
          <w:szCs w:val="22"/>
        </w:rPr>
        <w:t xml:space="preserve">Strategia IP a 3 layer documentata, separazione tesi pubblica / SystemX co-owned / startup privata.</w:t>
      </w:r>
    </w:p>
    <w:p>
      <w:r>
        <w:br w:type="page"/>
      </w:r>
    </w:p>
    <w:p>
      <w:pPr>
        <w:pStyle w:val="Heading1"/>
        <w:spacing w:after="180" w:before="360"/>
      </w:pPr>
      <w:r>
        <w:t xml:space="preserve">2 · Il Problema</w:t>
      </w:r>
    </w:p>
    <w:p>
      <w:pPr>
        <w:pStyle w:val="Heading2"/>
        <w:spacing w:after="120" w:before="240"/>
      </w:pPr>
      <w:r>
        <w:t xml:space="preserve">2.1 Cosa succede oggi</w:t>
      </w:r>
    </w:p>
    <w:p>
      <w:pPr>
        <w:spacing w:after="120" w:line="300"/>
        <w:jc w:val="left"/>
      </w:pPr>
      <w:r>
        <w:rPr>
          <w:b w:val="false"/>
          <w:bCs w:val="false"/>
          <w:i w:val="false"/>
          <w:iCs w:val="false"/>
          <w:sz w:val="22"/>
          <w:szCs w:val="22"/>
        </w:rPr>
        <w:t xml:space="preserve">Un'azienda manifatturiera o tier-1 automotive che deploya un modello AI su edge (Jetson, Raspberry Pi, MCU, NPU mobile) affronta tre problemi compositi che nessun tool attuale risolve insieme:</w:t>
      </w:r>
    </w:p>
    <w:p>
      <w:pPr>
        <w:pStyle w:val="ListParagraph"/>
        <w:numPr>
          <w:ilvl w:val="0"/>
          <w:numId w:val="2"/>
        </w:numPr>
        <w:spacing w:after="80" w:line="280"/>
      </w:pPr>
      <w:r>
        <w:rPr>
          <w:sz w:val="22"/>
          <w:szCs w:val="22"/>
        </w:rPr>
        <w:t xml:space="preserve">Hardware mismatch: il modello è stato testato in cloud su GPU. In edge non rispetta l'SLA reale. Scoperto solo in pre-produzione, dopo mesi di lavoro.</w:t>
      </w:r>
    </w:p>
    <w:p>
      <w:pPr>
        <w:pStyle w:val="ListParagraph"/>
        <w:numPr>
          <w:ilvl w:val="0"/>
          <w:numId w:val="2"/>
        </w:numPr>
        <w:spacing w:after="80" w:line="280"/>
      </w:pPr>
      <w:r>
        <w:rPr>
          <w:sz w:val="22"/>
          <w:szCs w:val="22"/>
        </w:rPr>
        <w:t xml:space="preserve">Drift silenzioso: il segnale dei sensori cambia (nuovo lotto di componenti, usura, stagionalità). Le metriche di monitoring tradizionali non lo vedono. Il modello degrada in silenzio.</w:t>
      </w:r>
    </w:p>
    <w:p>
      <w:pPr>
        <w:pStyle w:val="ListParagraph"/>
        <w:numPr>
          <w:ilvl w:val="0"/>
          <w:numId w:val="2"/>
        </w:numPr>
        <w:spacing w:after="80" w:line="280"/>
      </w:pPr>
      <w:r>
        <w:rPr>
          <w:sz w:val="22"/>
          <w:szCs w:val="22"/>
        </w:rPr>
        <w:t xml:space="preserve">Fleet diversity: lo stesso modello deve girare su 3-5 SKU hardware diversi (ECU di generazioni diverse, robot di vendor diversi). Ogni profilo richiede ottimizzazioni diverse — oggi fatte a mano.</w:t>
      </w:r>
    </w:p>
    <w:p>
      <w:pPr>
        <w:spacing w:after="120" w:line="300"/>
        <w:jc w:val="left"/>
      </w:pPr>
      <w:r>
        <w:rPr>
          <w:b w:val="false"/>
          <w:bCs w:val="false"/>
          <w:i w:val="false"/>
          <w:iCs w:val="false"/>
          <w:sz w:val="22"/>
          <w:szCs w:val="22"/>
        </w:rPr>
        <w:t xml:space="preserve">Il costo: secondo Senseye/Siemens 2024, downtime non pianificato in manifattura generale costa $260k/h, in automotive $2.3M/h. Una frazione significativa è attribuibile a modelli predittivi che non rilevano l'evento in tempo per agire.</w:t>
      </w:r>
    </w:p>
    <w:p>
      <w:pPr>
        <w:pStyle w:val="Heading2"/>
        <w:spacing w:after="120" w:before="240"/>
      </w:pPr>
      <w:r>
        <w:t xml:space="preserve">2.2 Evidenza concreta — il caso Bearing 3_2 (PRONOSTIA)</w:t>
      </w:r>
    </w:p>
    <w:p>
      <w:pPr>
        <w:spacing w:after="120" w:line="300"/>
        <w:jc w:val="left"/>
      </w:pPr>
      <w:r>
        <w:rPr>
          <w:b w:val="false"/>
          <w:bCs w:val="false"/>
          <w:i w:val="false"/>
          <w:iCs w:val="false"/>
          <w:sz w:val="22"/>
          <w:szCs w:val="22"/>
        </w:rPr>
        <w:t xml:space="preserve">Abbiamo eseguito una simulazione di missed-alarm cascade sui 6 bearing del Learning_set PHM 2012 (7625 acquisizioni reali), con tre modelli foundation deployati su Jetson Nano e SLA di 50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Modello</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Latenza Nano</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SLA Coverage</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Lead Bearing 3_2</w:t>
            </w:r>
          </w:p>
        </w:tc>
        <w:tc>
          <w:tcPr>
            <w:tcW w:type="dxa" w:w="1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Actionable (5 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PatchTST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58.6 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290 s pre-failure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SÌ (al limite)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Lag-Llama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77.7 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64%</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240 s pre-failure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SÌ (al limite)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Moirai-S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537 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9.3%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80 s pre-failure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NO — missed window</w:t>
            </w:r>
          </w:p>
        </w:tc>
      </w:tr>
    </w:tbl>
    <w:p>
      <w:pPr>
        <w:spacing w:after="120" w:line="300"/>
        <w:jc w:val="left"/>
      </w:pPr>
      <w:r>
        <w:rPr>
          <w:b w:val="false"/>
          <w:bCs w:val="false"/>
          <w:i w:val="false"/>
          <w:iCs w:val="false"/>
          <w:sz w:val="22"/>
          <w:szCs w:val="22"/>
        </w:rPr>
        <w:t xml:space="preserve"/>
      </w:r>
    </w:p>
    <w:p>
      <w:pPr>
        <w:spacing w:after="120" w:line="300"/>
        <w:jc w:val="left"/>
      </w:pPr>
      <w:r>
        <w:rPr>
          <w:b w:val="false"/>
          <w:bCs w:val="false"/>
          <w:i w:val="false"/>
          <w:iCs w:val="false"/>
          <w:sz w:val="22"/>
          <w:szCs w:val="22"/>
        </w:rPr>
        <w:t xml:space="preserve">Il principio empirico: alarm density ratio 10.4× tra modello admissible (PatchTST) e modello non-admissible (Moirai-S). Replicato su IMS Center (NASA, 7 giorni continui) con ratio 11.6×. Scale-invariant. Anche assumendo ideale accuratezza, la coverage dell'SLA è ciò che determina se il missed alarm avviene.</w:t>
      </w:r>
    </w:p>
    <w:p>
      <w:pPr>
        <w:spacing w:after="120" w:line="300"/>
        <w:jc w:val="left"/>
      </w:pPr>
      <w:r>
        <w:rPr>
          <w:b w:val="false"/>
          <w:bCs w:val="false"/>
          <w:i w:val="false"/>
          <w:iCs w:val="false"/>
          <w:sz w:val="22"/>
          <w:szCs w:val="22"/>
        </w:rPr>
        <w:t xml:space="preserve">Tradotto in business: un modello scelto male non solo è lento, manca eventi critici. È un rischio safety, non un'inefficienza.</w:t>
      </w:r>
    </w:p>
    <w:p>
      <w:r>
        <w:br w:type="page"/>
      </w:r>
    </w:p>
    <w:p>
      <w:pPr>
        <w:pStyle w:val="Heading1"/>
        <w:spacing w:after="180" w:before="360"/>
      </w:pPr>
      <w:r>
        <w:t xml:space="preserve">3 · La Soluzione — Strategia a 3 Fasi</w:t>
      </w:r>
    </w:p>
    <w:p>
      <w:pPr>
        <w:spacing w:after="120" w:line="300"/>
        <w:jc w:val="left"/>
      </w:pPr>
      <w:r>
        <w:rPr>
          <w:b w:val="false"/>
          <w:bCs w:val="false"/>
          <w:i w:val="false"/>
          <w:iCs w:val="false"/>
          <w:sz w:val="22"/>
          <w:szCs w:val="22"/>
        </w:rPr>
        <w:t xml:space="preserve">Ogni fase è un prodotto vendibile in autonomia, ma la composizione produce un effetto cumulativo: ogni audit alimenta il dataset proprietario che potenzia DMCA Runtime, che a sua volta giustifica la complessità dell'optimization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700"/>
        <w:gridCol w:w="2760"/>
      </w:tblGrid>
      <w:t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Fase</w:t>
            </w:r>
          </w:p>
        </w:tc>
        <w:tc>
          <w:tcPr>
            <w:tcW w:type="dxa" w:w="2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Cosa vendiamo</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ICP</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Modello pricing</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1 — Audit</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Report on-hardware: modelli che reggono / non reggono SLA, drift, fleet diversity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Horizontal: chiunque deploya modelli FM su edge (automotive, robotics, energy, defense, medical)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One-shot €15–50k per audit — sales cycle 4–8 settimane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2 — DMCA Runtime</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Pipeline 5-stage closed-loop: drift detect → select → quality gate → swap → audit trail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Vertical stretto: tier-1 automotive PdM, industrial robotics OEM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Recurring €60–250k/anno/site — sales cycle 6–12 mesi</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3 — Optimization Orchestration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TOPSIS esteso a (modello × path): TensorRT / OpenVINO / ONNX Runtime / AIMET selection automatica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Platform play: chiunque ha fleet multi-vendor (espansione dal vertical iniziale)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ACV scala: fleet contract €300k–1M+/anno</w:t>
            </w:r>
          </w:p>
        </w:tc>
      </w:tr>
    </w:tbl>
    <w:p>
      <w:pPr>
        <w:pStyle w:val="Heading2"/>
        <w:spacing w:after="120" w:before="240"/>
      </w:pPr>
      <w:r>
        <w:t xml:space="preserve">3.1 Fase 1 — Audit (il Wedge)</w:t>
      </w:r>
    </w:p>
    <w:p>
      <w:pPr>
        <w:spacing w:after="120" w:line="300"/>
        <w:jc w:val="left"/>
      </w:pPr>
      <w:r>
        <w:rPr>
          <w:b w:val="false"/>
          <w:bCs w:val="false"/>
          <w:i w:val="false"/>
          <w:iCs w:val="false"/>
          <w:sz w:val="22"/>
          <w:szCs w:val="22"/>
        </w:rPr>
        <w:t xml:space="preserve">Il cliente ci manda: (a) un modello (o più), (b) un campione di dati di produzione, (c) la specifica hardware di deployment, (d) l'SLA target.</w:t>
      </w:r>
    </w:p>
    <w:p>
      <w:pPr>
        <w:spacing w:after="120" w:line="300"/>
        <w:jc w:val="left"/>
      </w:pPr>
      <w:r>
        <w:rPr>
          <w:b w:val="false"/>
          <w:bCs w:val="false"/>
          <w:i w:val="false"/>
          <w:iCs w:val="false"/>
          <w:sz w:val="22"/>
          <w:szCs w:val="22"/>
        </w:rPr>
        <w:t xml:space="preserve">Noi giriamo, sul nostro hardware fisico (Jetson Nano + Pi 4 + Jetson Orin NX, espandibile), una batteria di test che misura:</w:t>
      </w:r>
    </w:p>
    <w:p>
      <w:pPr>
        <w:pStyle w:val="ListParagraph"/>
        <w:numPr>
          <w:ilvl w:val="0"/>
          <w:numId w:val="3"/>
        </w:numPr>
        <w:spacing w:after="80" w:line="280"/>
      </w:pPr>
      <w:r>
        <w:rPr>
          <w:sz w:val="22"/>
          <w:szCs w:val="22"/>
        </w:rPr>
        <w:t xml:space="preserve">Latenza effettiva vs SLA su ogni profilo hardware</w:t>
      </w:r>
    </w:p>
    <w:p>
      <w:pPr>
        <w:pStyle w:val="ListParagraph"/>
        <w:numPr>
          <w:ilvl w:val="0"/>
          <w:numId w:val="3"/>
        </w:numPr>
        <w:spacing w:after="80" w:line="280"/>
      </w:pPr>
      <w:r>
        <w:rPr>
          <w:sz w:val="22"/>
          <w:szCs w:val="22"/>
        </w:rPr>
        <w:t xml:space="preserve">Coverage rate (quanti window processi nel tempo disponibile)</w:t>
      </w:r>
    </w:p>
    <w:p>
      <w:pPr>
        <w:pStyle w:val="ListParagraph"/>
        <w:numPr>
          <w:ilvl w:val="0"/>
          <w:numId w:val="3"/>
        </w:numPr>
        <w:spacing w:after="80" w:line="280"/>
      </w:pPr>
      <w:r>
        <w:rPr>
          <w:sz w:val="22"/>
          <w:szCs w:val="22"/>
        </w:rPr>
        <w:t xml:space="preserve">Robustezza al drift simulato (i nostri 7 tipi: abrupt, gradual, incremental, variance, distribution, outlier, unclassified)</w:t>
      </w:r>
    </w:p>
    <w:p>
      <w:pPr>
        <w:pStyle w:val="ListParagraph"/>
        <w:numPr>
          <w:ilvl w:val="0"/>
          <w:numId w:val="3"/>
        </w:numPr>
        <w:spacing w:after="80" w:line="280"/>
      </w:pPr>
      <w:r>
        <w:rPr>
          <w:sz w:val="22"/>
          <w:szCs w:val="22"/>
        </w:rPr>
        <w:t xml:space="preserve">Confronto con catalogo open-source equivalente — TOPSIS dice “esistono X modelli che fanno meglio del vostro nel vostro setup”</w:t>
      </w:r>
    </w:p>
    <w:p>
      <w:pPr>
        <w:pStyle w:val="ListParagraph"/>
        <w:numPr>
          <w:ilvl w:val="0"/>
          <w:numId w:val="3"/>
        </w:numPr>
        <w:spacing w:after="80" w:line="280"/>
      </w:pPr>
      <w:r>
        <w:rPr>
          <w:sz w:val="22"/>
          <w:szCs w:val="22"/>
        </w:rPr>
        <w:t xml:space="preserve">Report di rischio missed-alarm su un workload sintetico standardizzato</w:t>
      </w:r>
    </w:p>
    <w:p>
      <w:pPr>
        <w:spacing w:after="120" w:line="300"/>
        <w:jc w:val="left"/>
      </w:pPr>
      <w:r>
        <w:rPr>
          <w:b w:val="false"/>
          <w:bCs w:val="false"/>
          <w:i w:val="false"/>
          <w:iCs w:val="false"/>
          <w:sz w:val="22"/>
          <w:szCs w:val="22"/>
        </w:rPr>
        <w:t xml:space="preserve">Il deliverable è un report PDF di 15–20 pagine + dashboard interattiva temporanea. Tempo di esecuzione: 2–3 settimane dall'invio dei dati.</w:t>
      </w:r>
    </w:p>
    <w:p>
      <w:pPr>
        <w:pStyle w:val="Heading3"/>
        <w:spacing w:after="100" w:before="180"/>
      </w:pPr>
      <w:r>
        <w:t xml:space="preserve">Perché funziona come wedge</w:t>
      </w:r>
    </w:p>
    <w:p>
      <w:pPr>
        <w:pStyle w:val="ListParagraph"/>
        <w:numPr>
          <w:ilvl w:val="0"/>
          <w:numId w:val="3"/>
        </w:numPr>
        <w:spacing w:after="80" w:line="280"/>
      </w:pPr>
      <w:r>
        <w:rPr>
          <w:sz w:val="22"/>
          <w:szCs w:val="22"/>
        </w:rPr>
        <w:t xml:space="preserve">Non chiede al cliente di sostituire lo stack — è informazione, non integrazione.</w:t>
      </w:r>
    </w:p>
    <w:p>
      <w:pPr>
        <w:pStyle w:val="ListParagraph"/>
        <w:numPr>
          <w:ilvl w:val="0"/>
          <w:numId w:val="3"/>
        </w:numPr>
        <w:spacing w:after="80" w:line="280"/>
      </w:pPr>
      <w:r>
        <w:rPr>
          <w:sz w:val="22"/>
          <w:szCs w:val="22"/>
        </w:rPr>
        <w:t xml:space="preserve">Sales cycle 4–8 settimane vs 6–12 mesi per il runtime — cash flow rapido.</w:t>
      </w:r>
    </w:p>
    <w:p>
      <w:pPr>
        <w:pStyle w:val="ListParagraph"/>
        <w:numPr>
          <w:ilvl w:val="0"/>
          <w:numId w:val="3"/>
        </w:numPr>
        <w:spacing w:after="80" w:line="280"/>
      </w:pPr>
      <w:r>
        <w:rPr>
          <w:sz w:val="22"/>
          <w:szCs w:val="22"/>
        </w:rPr>
        <w:t xml:space="preserve">Ogni audit alimenta un dataset proprietario “modello × hardware × vertical × drift × outcome” — il moat reale, non replicabile da un nuovo entrante senza customer.</w:t>
      </w:r>
    </w:p>
    <w:p>
      <w:pPr>
        <w:pStyle w:val="ListParagraph"/>
        <w:numPr>
          <w:ilvl w:val="0"/>
          <w:numId w:val="3"/>
        </w:numPr>
        <w:spacing w:after="80" w:line="280"/>
      </w:pPr>
      <w:r>
        <w:rPr>
          <w:sz w:val="22"/>
          <w:szCs w:val="22"/>
        </w:rPr>
        <w:t xml:space="preserve">È il vettore di vendita per DMCA Runtime: il report finale termina con “nei prossimi 12 mesi avrete N missed alarm — con AlignEdge Runtime questo scende a X”.</w:t>
      </w:r>
    </w:p>
    <w:p>
      <w:pPr>
        <w:pStyle w:val="Heading2"/>
        <w:spacing w:after="120" w:before="240"/>
      </w:pPr>
      <w:r>
        <w:t xml:space="preserve">3.2 Fase 2 — DMCA Runtime (il Core)</w:t>
      </w:r>
    </w:p>
    <w:p>
      <w:pPr>
        <w:spacing w:after="120" w:line="300"/>
        <w:jc w:val="left"/>
      </w:pPr>
      <w:r>
        <w:rPr>
          <w:b w:val="false"/>
          <w:bCs w:val="false"/>
          <w:i w:val="false"/>
          <w:iCs w:val="false"/>
          <w:sz w:val="22"/>
          <w:szCs w:val="22"/>
        </w:rPr>
        <w:t xml:space="preserve">Il prodotto recurring. Cinque stage closed-loop:</w:t>
      </w:r>
    </w:p>
    <w:p>
      <w:pPr>
        <w:pStyle w:val="ListParagraph"/>
        <w:numPr>
          <w:ilvl w:val="0"/>
          <w:numId w:val="2"/>
        </w:numPr>
        <w:spacing w:after="80" w:line="280"/>
      </w:pPr>
      <w:r>
        <w:rPr>
          <w:sz w:val="22"/>
          <w:szCs w:val="22"/>
        </w:rPr>
        <w:t xml:space="preserve">DT Profiling — lettura del Digital Twin (formato AAS Type 1) dell'asset, estrazione constraint: hardware, sensori, SLA, range operativi, protocollo.</w:t>
      </w:r>
    </w:p>
    <w:p>
      <w:pPr>
        <w:pStyle w:val="ListParagraph"/>
        <w:numPr>
          <w:ilvl w:val="0"/>
          <w:numId w:val="2"/>
        </w:numPr>
        <w:spacing w:after="80" w:line="280"/>
      </w:pPr>
      <w:r>
        <w:rPr>
          <w:sz w:val="22"/>
          <w:szCs w:val="22"/>
        </w:rPr>
        <w:t xml:space="preserve">Model Selection — TOPSIS multi-criterio (MAE 0.5, latency 0.3, params 0.1, license 0.1) sul catalogo open-source ammissibile.</w:t>
      </w:r>
    </w:p>
    <w:p>
      <w:pPr>
        <w:pStyle w:val="ListParagraph"/>
        <w:numPr>
          <w:ilvl w:val="0"/>
          <w:numId w:val="2"/>
        </w:numPr>
        <w:spacing w:after="80" w:line="280"/>
      </w:pPr>
      <w:r>
        <w:rPr>
          <w:sz w:val="22"/>
          <w:szCs w:val="22"/>
        </w:rPr>
        <w:t xml:space="preserve">Edge Deployment + Quality Gate — 4-check: latency, shape, validity (no zero-shot collapse), memory.</w:t>
      </w:r>
    </w:p>
    <w:p>
      <w:pPr>
        <w:pStyle w:val="ListParagraph"/>
        <w:numPr>
          <w:ilvl w:val="0"/>
          <w:numId w:val="2"/>
        </w:numPr>
        <w:spacing w:after="80" w:line="280"/>
      </w:pPr>
      <w:r>
        <w:rPr>
          <w:sz w:val="22"/>
          <w:szCs w:val="22"/>
        </w:rPr>
        <w:t xml:space="preserve">Drift Detection v3.1.1 — ADWIN + classificatore 7-tipi con tree decision a 8 feature. 92% accuracy held-out su 5 tipi di drift, FAR 0%.</w:t>
      </w:r>
    </w:p>
    <w:p>
      <w:pPr>
        <w:pStyle w:val="ListParagraph"/>
        <w:numPr>
          <w:ilvl w:val="0"/>
          <w:numId w:val="2"/>
        </w:numPr>
        <w:spacing w:after="80" w:line="280"/>
      </w:pPr>
      <w:r>
        <w:rPr>
          <w:sz w:val="22"/>
          <w:szCs w:val="22"/>
        </w:rPr>
        <w:t xml:space="preserve">Re-alignment — shadow deployment, improvement threshold check, copilot conversazionale L1/L2/L3 (Haiku/Sonnet) per la decisione dell'operatore, atomic swap, grace period, audit trail JSONL append-only.</w:t>
      </w:r>
    </w:p>
    <w:p>
      <w:pPr>
        <w:spacing w:after="120" w:line="300"/>
        <w:jc w:val="left"/>
      </w:pPr>
      <w:r>
        <w:rPr>
          <w:b w:val="false"/>
          <w:bCs w:val="false"/>
          <w:i w:val="false"/>
          <w:iCs w:val="false"/>
          <w:sz w:val="22"/>
          <w:szCs w:val="22"/>
        </w:rPr>
        <w:t xml:space="preserve">Tutto governato da un'interfaccia conversazionale destinata all'operatore di fabbrica (XAI integrata) — non un nuovo MLOps tool per data scientist.</w:t>
      </w:r>
    </w:p>
    <w:p>
      <w:pPr>
        <w:pStyle w:val="Heading3"/>
        <w:spacing w:after="100" w:before="180"/>
      </w:pPr>
      <w:r>
        <w:t xml:space="preserve">Perché vertical e perché stretto</w:t>
      </w:r>
    </w:p>
    <w:p>
      <w:pPr>
        <w:spacing w:after="120" w:line="300"/>
        <w:jc w:val="left"/>
      </w:pPr>
      <w:r>
        <w:rPr>
          <w:b w:val="false"/>
          <w:bCs w:val="false"/>
          <w:i w:val="false"/>
          <w:iCs w:val="false"/>
          <w:sz w:val="22"/>
          <w:szCs w:val="22"/>
        </w:rPr>
        <w:t xml:space="preserve">DMCA Runtime richiede integrazione profonda: agent on-device, security review, OTA, DT integration. Sales cycle 6–12 mesi. Per giustificare lo sforzo serve un ICP con (a) costo downtime alto, (b) pressione regolatoria, (c) fleet diversity vera, (d) maturità MLOps minima.</w:t>
      </w:r>
    </w:p>
    <w:p>
      <w:pPr>
        <w:spacing w:after="120" w:line="300"/>
        <w:jc w:val="left"/>
      </w:pPr>
      <w:r>
        <w:rPr>
          <w:b w:val="false"/>
          <w:bCs w:val="false"/>
          <w:i w:val="false"/>
          <w:iCs w:val="false"/>
          <w:sz w:val="22"/>
          <w:szCs w:val="22"/>
        </w:rPr>
        <w:t xml:space="preserve">Default ICP: tier-1 automotive PdM (Valeo, Bosch, ZF, Continental). Allineato con tesi (PRONOSTIA = bearings = supply chain automotive), con SystemX (Renault, Valeo nel network), con AI Act + ISO 21448 + ISO 26262.</w:t>
      </w:r>
    </w:p>
    <w:p>
      <w:pPr>
        <w:pStyle w:val="Heading2"/>
        <w:spacing w:after="120" w:before="240"/>
      </w:pPr>
      <w:r>
        <w:t xml:space="preserve">3.3 Fase 3 — Cross-Vendor Optimization Orchestration (il Platform Play)</w:t>
      </w:r>
    </w:p>
    <w:p>
      <w:pPr>
        <w:spacing w:after="120" w:line="300"/>
        <w:jc w:val="left"/>
      </w:pPr>
      <w:r>
        <w:rPr>
          <w:b w:val="false"/>
          <w:bCs w:val="false"/>
          <w:i w:val="false"/>
          <w:iCs w:val="false"/>
          <w:sz w:val="22"/>
          <w:szCs w:val="22"/>
        </w:rPr>
        <w:t xml:space="preserve">Estensione naturale di DMCA. Oggi TOPSIS sceglie tra modelli; in Fase 3 sceglie tra coppie (modello × optimization path). Stage 2.5 inserito tra selezione modello e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480"/>
        <w:gridCol w:w="3480"/>
      </w:tblGrid>
      <w:tr>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Criterio TOPSIS optimization path</w:t>
            </w:r>
          </w:p>
        </w:tc>
        <w:tc>
          <w:tcPr>
            <w:tcW w:type="dxa" w:w="1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Peso</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Note</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Latency su target HW</w:t>
            </w:r>
          </w:p>
        </w:tc>
        <w:tc>
          <w:tcPr>
            <w:tcW w:type="dxa" w:w="1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0.30</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Misurato on-device, non datasheet</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Accuracy preservation vs FP32</w:t>
            </w:r>
          </w:p>
        </w:tc>
        <w:tc>
          <w:tcPr>
            <w:tcW w:type="dxa" w:w="1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0.25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Calibration set rappresentativo</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Memory footprint</w:t>
            </w:r>
          </w:p>
        </w:tc>
        <w:tc>
          <w:tcPr>
            <w:tcW w:type="dxa" w:w="1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0.15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RAM peak runtime</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Hardware coverage (Nano + Pi + Orin)</w:t>
            </w:r>
          </w:p>
        </w:tc>
        <w:tc>
          <w:tcPr>
            <w:tcW w:type="dxa" w:w="1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0.15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Stesso artefatto su più profili = meno fleet mgmt</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Maturità / breaking frequency optimizer</w:t>
            </w:r>
          </w:p>
        </w:tc>
        <w:tc>
          <w:tcPr>
            <w:tcW w:type="dxa" w:w="1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0.10</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TensorRT bump ogni 3 mesi penalizza</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Compatibilità licenza</w:t>
            </w:r>
          </w:p>
        </w:tc>
        <w:tc>
          <w:tcPr>
            <w:tcW w:type="dxa" w:w="1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0.05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Vendor-locked penalizzato in fleet open</w:t>
            </w:r>
          </w:p>
        </w:tc>
      </w:tr>
    </w:tbl>
    <w:p>
      <w:pPr>
        <w:spacing w:after="120" w:line="300"/>
        <w:jc w:val="left"/>
      </w:pPr>
      <w:r>
        <w:rPr>
          <w:b w:val="false"/>
          <w:bCs w:val="false"/>
          <w:i w:val="false"/>
          <w:iCs w:val="false"/>
          <w:sz w:val="22"/>
          <w:szCs w:val="22"/>
        </w:rPr>
        <w:t xml:space="preserve"/>
      </w:r>
    </w:p>
    <w:p>
      <w:pPr>
        <w:spacing w:after="120" w:line="300"/>
        <w:jc w:val="left"/>
      </w:pPr>
      <w:r>
        <w:rPr>
          <w:b w:val="false"/>
          <w:bCs w:val="false"/>
          <w:i w:val="false"/>
          <w:iCs w:val="false"/>
          <w:sz w:val="22"/>
          <w:szCs w:val="22"/>
        </w:rPr>
        <w:t xml:space="preserve">Il drift detector di Stage 4 può triggerare re-optimization invece di re-selection: “il modello X ha perso 4 punti MAE — prova prima X-INT8 con calibration set aggiornato, poi swap a Y se non basta”.</w:t>
      </w:r>
    </w:p>
    <w:p>
      <w:pPr>
        <w:pStyle w:val="Heading3"/>
        <w:spacing w:after="100" w:before="180"/>
      </w:pPr>
      <w:r>
        <w:t xml:space="preserve">Perché è una vision-slide e non un'apertura</w:t>
      </w:r>
    </w:p>
    <w:p>
      <w:pPr>
        <w:spacing w:after="120" w:line="300"/>
        <w:jc w:val="left"/>
      </w:pPr>
      <w:r>
        <w:rPr>
          <w:b w:val="false"/>
          <w:bCs w:val="false"/>
          <w:i w:val="false"/>
          <w:iCs w:val="false"/>
          <w:sz w:val="22"/>
          <w:szCs w:val="22"/>
        </w:rPr>
        <w:t xml:space="preserve">Non si vende come prima cosa — suona platform vago. Si svela in slide 4 della pitch deck, dopo aver mostrato audit e DMCA concreti. Investitori early-stage la leggono come “signal che il fondatore vede 5 anni avanti”, non come la proposta operativa di oggi.</w:t>
      </w:r>
    </w:p>
    <w:p>
      <w:r>
        <w:br w:type="page"/>
      </w:r>
    </w:p>
    <w:p>
      <w:pPr>
        <w:pStyle w:val="Heading1"/>
        <w:spacing w:after="180" w:before="360"/>
      </w:pPr>
      <w:r>
        <w:t xml:space="preserve">4 · Why Now</w:t>
      </w:r>
    </w:p>
    <w:p>
      <w:pPr>
        <w:spacing w:after="120" w:line="300"/>
        <w:jc w:val="left"/>
      </w:pPr>
      <w:r>
        <w:rPr>
          <w:b w:val="false"/>
          <w:bCs w:val="false"/>
          <w:i w:val="false"/>
          <w:iCs w:val="false"/>
          <w:sz w:val="22"/>
          <w:szCs w:val="22"/>
        </w:rPr>
        <w:t xml:space="preserve">Quattro forze convergono nella finestra 2026–2028:</w:t>
      </w:r>
    </w:p>
    <w:p>
      <w:pPr>
        <w:pStyle w:val="ListParagraph"/>
        <w:numPr>
          <w:ilvl w:val="0"/>
          <w:numId w:val="2"/>
        </w:numPr>
        <w:spacing w:after="80" w:line="280"/>
      </w:pPr>
      <w:r>
        <w:rPr>
          <w:sz w:val="22"/>
          <w:szCs w:val="22"/>
        </w:rPr>
        <w:t xml:space="preserve">Esplosione del catalogo foundation model: HuggingFace è passata da ~50 a ~500+ time-series / vision FM in 24 mesi. La scelta non è più “resnet o efficientnet” — è un problema combinatorio.</w:t>
      </w:r>
    </w:p>
    <w:p>
      <w:pPr>
        <w:pStyle w:val="ListParagraph"/>
        <w:numPr>
          <w:ilvl w:val="0"/>
          <w:numId w:val="2"/>
        </w:numPr>
        <w:spacing w:after="80" w:line="280"/>
      </w:pPr>
      <w:r>
        <w:rPr>
          <w:sz w:val="22"/>
          <w:szCs w:val="22"/>
        </w:rPr>
        <w:t xml:space="preserve">AI Act EU (entry into force agosto 2024, applicazione progressiva 2025–2027): sistemi AI high-risk (incluso PdM in safety contexts) richiedono documentazione, monitoring, audit trail. DMCA produce esattamente questo.</w:t>
      </w:r>
    </w:p>
    <w:p>
      <w:pPr>
        <w:pStyle w:val="ListParagraph"/>
        <w:numPr>
          <w:ilvl w:val="0"/>
          <w:numId w:val="2"/>
        </w:numPr>
        <w:spacing w:after="80" w:line="280"/>
      </w:pPr>
      <w:r>
        <w:rPr>
          <w:sz w:val="22"/>
          <w:szCs w:val="22"/>
        </w:rPr>
        <w:t xml:space="preserve">Vuoto lasciato da OctoML: NVIDIA l'ha acquisita fine 2023 e la sta inglobando nel proprio stack vendor-locked. Cross-vendor optimization è un mercato orfano per 18–24 mesi.</w:t>
      </w:r>
    </w:p>
    <w:p>
      <w:pPr>
        <w:pStyle w:val="ListParagraph"/>
        <w:numPr>
          <w:ilvl w:val="0"/>
          <w:numId w:val="2"/>
        </w:numPr>
        <w:spacing w:after="80" w:line="280"/>
      </w:pPr>
      <w:r>
        <w:rPr>
          <w:sz w:val="22"/>
          <w:szCs w:val="22"/>
        </w:rPr>
        <w:t xml:space="preserve">Edge AI compute boom: Jetson Orin, Qualcomm Snapdragon, MediaTek NeuroPilot, Apple Neural Engine. Fleet diversity vera in arrivo — oggi gestita a mano da ingegneri ML, insostenibile a scala.</w:t>
      </w:r>
    </w:p>
    <w:p>
      <w:r>
        <w:br w:type="page"/>
      </w:r>
    </w:p>
    <w:p>
      <w:pPr>
        <w:pStyle w:val="Heading1"/>
        <w:spacing w:after="180" w:before="360"/>
      </w:pPr>
      <w:r>
        <w:t xml:space="preserve">5 · Why Us — L'Edge del Fondatore</w:t>
      </w:r>
    </w:p>
    <w:p>
      <w:pPr>
        <w:spacing w:after="120" w:line="300"/>
        <w:jc w:val="left"/>
      </w:pPr>
      <w:r>
        <w:rPr>
          <w:b w:val="false"/>
          <w:bCs w:val="false"/>
          <w:i w:val="false"/>
          <w:iCs w:val="false"/>
          <w:sz w:val="22"/>
          <w:szCs w:val="22"/>
        </w:rPr>
        <w:t xml:space="preserve">Cinque elementi distinguono questa proposta da un team generico al lancio:</w:t>
      </w:r>
    </w:p>
    <w:p>
      <w:pPr>
        <w:pStyle w:val="ListParagraph"/>
        <w:numPr>
          <w:ilvl w:val="0"/>
          <w:numId w:val="2"/>
        </w:numPr>
        <w:spacing w:after="80" w:line="280"/>
      </w:pPr>
      <w:r>
        <w:rPr>
          <w:sz w:val="22"/>
          <w:szCs w:val="22"/>
        </w:rPr>
        <w:t xml:space="preserve">Domain depth: 8 mesi di lavoro su DMCA + AAS + drift classification. 6 mesi di vantaggio tecnico minimo su qualunque competitor che parta oggi.</w:t>
      </w:r>
    </w:p>
    <w:p>
      <w:pPr>
        <w:pStyle w:val="ListParagraph"/>
        <w:numPr>
          <w:ilvl w:val="0"/>
          <w:numId w:val="2"/>
        </w:numPr>
        <w:spacing w:after="80" w:line="280"/>
      </w:pPr>
      <w:r>
        <w:rPr>
          <w:sz w:val="22"/>
          <w:szCs w:val="22"/>
        </w:rPr>
        <w:t xml:space="preserve">Dati validati su scala micro: benchmark canonico 8 modelli × 2 dataset PdM su GPU T4 ($0.30), drift classifier al 92% held-out su 5 tipi, validazione missed-alarm su PRONOSTIA real data. Non “abbiamo un'idea” — numeri replicabili.</w:t>
      </w:r>
    </w:p>
    <w:p>
      <w:pPr>
        <w:pStyle w:val="ListParagraph"/>
        <w:numPr>
          <w:ilvl w:val="0"/>
          <w:numId w:val="2"/>
        </w:numPr>
        <w:spacing w:after="80" w:line="280"/>
      </w:pPr>
      <w:r>
        <w:rPr>
          <w:sz w:val="22"/>
          <w:szCs w:val="22"/>
        </w:rPr>
        <w:t xml:space="preserve">Asse Italia–Cina concreto: doppia laurea Polito + Beihang, accesso a ecosistema startup di entrambi i paesi. Quasi nessun founder in deep-tech edge AI ha questo profilo bilaterale.</w:t>
      </w:r>
    </w:p>
    <w:p>
      <w:pPr>
        <w:pStyle w:val="ListParagraph"/>
        <w:numPr>
          <w:ilvl w:val="0"/>
          <w:numId w:val="2"/>
        </w:numPr>
        <w:spacing w:after="80" w:line="280"/>
      </w:pPr>
      <w:r>
        <w:rPr>
          <w:sz w:val="22"/>
          <w:szCs w:val="22"/>
        </w:rPr>
        <w:t xml:space="preserve">Credibilità accademica + business literacy: tesi pubblicabile su IEEE TII / IJAMT, collaborazione attiva con IRT SystemX, strategia IP documentata a 3 layer prima di firmare con qualsiasi controparte.</w:t>
      </w:r>
    </w:p>
    <w:p>
      <w:pPr>
        <w:pStyle w:val="ListParagraph"/>
        <w:numPr>
          <w:ilvl w:val="0"/>
          <w:numId w:val="2"/>
        </w:numPr>
        <w:spacing w:after="80" w:line="280"/>
      </w:pPr>
      <w:r>
        <w:rPr>
          <w:sz w:val="22"/>
          <w:szCs w:val="22"/>
        </w:rPr>
        <w:t xml:space="preserve">Coerenza positioning: “Build in China, sell in Europe” — sviluppo + talento dove c'è densità hardware/AI talent, sales dove c'è willingness-to-pay regolata.</w:t>
      </w:r>
    </w:p>
    <w:p>
      <w:r>
        <w:br w:type="page"/>
      </w:r>
    </w:p>
    <w:p>
      <w:pPr>
        <w:pStyle w:val="Heading1"/>
        <w:spacing w:after="180" w:before="360"/>
      </w:pPr>
      <w:r>
        <w:t xml:space="preserve">6 · Competitive Landscape</w:t>
      </w:r>
    </w:p>
    <w:p>
      <w:pPr>
        <w:spacing w:after="120" w:line="300"/>
        <w:jc w:val="left"/>
      </w:pPr>
      <w:r>
        <w:rPr>
          <w:b w:val="false"/>
          <w:bCs w:val="false"/>
          <w:i w:val="false"/>
          <w:iCs w:val="false"/>
          <w:sz w:val="22"/>
          <w:szCs w:val="22"/>
        </w:rPr>
        <w:t xml:space="preserve">Nessuno copre il combinato “on-customer-hardware + on-customer-data + sotto SLA reale + drift coverage + as productized service”. Pezzi del problema sono coperti 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Player</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Cosa fa</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Gap vs AlignEdge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MLPerf / TinyMLPerf</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Benchmark di modelli su HW reference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No customer data, no service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OctoML (→ NVIDIA)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Model optimization edge cross-vendor (TVM)</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Assorbita, ora vendor-locked NVIDIA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Edge Impulse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Dev platform edge ML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Build with us, no audit di terzi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Arize / Fiddler / WhyLabs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ML observability + drift detection</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Cloud-side, no hardware-aware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Robust Intelligence (Cisco)</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AI red-teaming, adversarial audit</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Security, non coverage / SLA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Augury / Senseye / SparkCognition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Industrial PdM vendors (loro modello)</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Vendono il loro modello, non auditano terzi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Modular (Mojo) / MLC LLM</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Cross-vendor compiler bottom-up</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Building block, non decision system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Accenture / Capgemini Engineering</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Audit one-off su contratti €500k+</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Consulting, non productized, no asset</w:t>
            </w:r>
          </w:p>
        </w:tc>
      </w:tr>
    </w:tbl>
    <w:p>
      <w:pPr>
        <w:spacing w:after="120" w:line="300"/>
        <w:jc w:val="left"/>
      </w:pPr>
      <w:r>
        <w:rPr>
          <w:b w:val="false"/>
          <w:bCs w:val="false"/>
          <w:i w:val="false"/>
          <w:iCs w:val="false"/>
          <w:sz w:val="22"/>
          <w:szCs w:val="22"/>
        </w:rPr>
        <w:t xml:space="preserve"/>
      </w:r>
    </w:p>
    <w:p>
      <w:pPr>
        <w:spacing w:after="120" w:line="300"/>
        <w:jc w:val="left"/>
      </w:pPr>
      <w:r>
        <w:rPr>
          <w:b w:val="false"/>
          <w:bCs w:val="false"/>
          <w:i w:val="false"/>
          <w:iCs w:val="false"/>
          <w:sz w:val="22"/>
          <w:szCs w:val="22"/>
        </w:rPr>
        <w:t xml:space="preserve">Conferma del gap: il pattern “audit-as-a-product on-device” non emerge nelle ricerche LinkedIn jobs su “edge ML audit”, né nelle conferenze tinyML/EdgeAI 2025–2026 oltre menzioni di consultancies. Pain reale, fornitura assente o consulenziale.</w:t>
      </w:r>
    </w:p>
    <w:p>
      <w:r>
        <w:br w:type="page"/>
      </w:r>
    </w:p>
    <w:p>
      <w:pPr>
        <w:pStyle w:val="Heading1"/>
        <w:spacing w:after="180" w:before="360"/>
      </w:pPr>
      <w:r>
        <w:t xml:space="preserve">7 · Trazione &amp; Evidenza</w:t>
      </w:r>
    </w:p>
    <w:p>
      <w:pPr>
        <w:pStyle w:val="Heading2"/>
        <w:spacing w:after="120" w:before="240"/>
      </w:pPr>
      <w:r>
        <w:t xml:space="preserve">7.1 Asset tecnici esistenti</w:t>
      </w:r>
    </w:p>
    <w:p>
      <w:pPr>
        <w:pStyle w:val="ListParagraph"/>
        <w:numPr>
          <w:ilvl w:val="0"/>
          <w:numId w:val="3"/>
        </w:numPr>
        <w:spacing w:after="80" w:line="280"/>
      </w:pPr>
      <w:r>
        <w:rPr>
          <w:sz w:val="22"/>
          <w:szCs w:val="22"/>
        </w:rPr>
        <w:t xml:space="preserve">Codice DMCA pipeline 5-stage in Python, modulare. Repo MIT-licensed.</w:t>
      </w:r>
    </w:p>
    <w:p>
      <w:pPr>
        <w:pStyle w:val="ListParagraph"/>
        <w:numPr>
          <w:ilvl w:val="0"/>
          <w:numId w:val="3"/>
        </w:numPr>
        <w:spacing w:after="80" w:line="280"/>
      </w:pPr>
      <w:r>
        <w:rPr>
          <w:sz w:val="22"/>
          <w:szCs w:val="22"/>
        </w:rPr>
        <w:t xml:space="preserve">Benchmark canonici 8 modelli (IBM PatchTST, Salesforce Moirai, Amazon Chronos, TimesFM, N-HiTS, Lag-Llama, ecc.) su 2 dataset (CMAPSS FD001, ETT-h1), GPU NVIDIA T4 via Modal, costo $0.30 totali.</w:t>
      </w:r>
    </w:p>
    <w:p>
      <w:pPr>
        <w:pStyle w:val="ListParagraph"/>
        <w:numPr>
          <w:ilvl w:val="0"/>
          <w:numId w:val="3"/>
        </w:numPr>
        <w:spacing w:after="80" w:line="280"/>
      </w:pPr>
      <w:r>
        <w:rPr>
          <w:sz w:val="22"/>
          <w:szCs w:val="22"/>
        </w:rPr>
        <w:t xml:space="preserve">Drift classifier v3.1.1: 8 feature, decision tree first-match-wins, 92% accuracy held-out (5 seed × 5 tipi drift), False Alarm Rate 0%.</w:t>
      </w:r>
    </w:p>
    <w:p>
      <w:pPr>
        <w:pStyle w:val="ListParagraph"/>
        <w:numPr>
          <w:ilvl w:val="0"/>
          <w:numId w:val="3"/>
        </w:numPr>
        <w:spacing w:after="80" w:line="280"/>
      </w:pPr>
      <w:r>
        <w:rPr>
          <w:sz w:val="22"/>
          <w:szCs w:val="22"/>
        </w:rPr>
        <w:t xml:space="preserve">Missed-alarm simulator validato su PRONOSTIA (FEMTO-ST, 6 bearings, 7625 acquisizioni) e IMS Center (NASA, 7 giorni).</w:t>
      </w:r>
    </w:p>
    <w:p>
      <w:pPr>
        <w:pStyle w:val="ListParagraph"/>
        <w:numPr>
          <w:ilvl w:val="0"/>
          <w:numId w:val="3"/>
        </w:numPr>
        <w:spacing w:after="80" w:line="280"/>
      </w:pPr>
      <w:r>
        <w:rPr>
          <w:sz w:val="22"/>
          <w:szCs w:val="22"/>
        </w:rPr>
        <w:t xml:space="preserve">AAS Type 1 statico JSON (3 asset draft: Jetson Nano, Raspberry Pi 4, Jetson Orin NX).</w:t>
      </w:r>
    </w:p>
    <w:p>
      <w:pPr>
        <w:pStyle w:val="Heading2"/>
        <w:spacing w:after="120" w:before="240"/>
      </w:pPr>
      <w:r>
        <w:t xml:space="preserve">7.2 Risultati chiave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Risultato</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Numero</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Significato</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Alarm density ratio PRONOSTIA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10.4×</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Coverage-driven gap</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Alarm density ratio IMS Center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11.6×</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Scale-invariant cross-regime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Drift classifier accuracy (held-out)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92%</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Production-grade su 5 tipi</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False Alarm 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Trust calibrato, no allarm fatigue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Drift recovery cycle (canonical run)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20 timestep</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MAE 3.121 → 0.174 post-swap</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Costo benchmark T4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$0.30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Capital efficiency tesi vs market</w:t>
            </w:r>
          </w:p>
        </w:tc>
      </w:tr>
    </w:tbl>
    <w:p>
      <w:pPr>
        <w:pStyle w:val="Heading2"/>
        <w:spacing w:after="120" w:before="240"/>
      </w:pPr>
      <w:r>
        <w:t xml:space="preserve">7.3 Network / canale</w:t>
      </w:r>
    </w:p>
    <w:p>
      <w:pPr>
        <w:pStyle w:val="ListParagraph"/>
        <w:numPr>
          <w:ilvl w:val="0"/>
          <w:numId w:val="3"/>
        </w:numPr>
        <w:spacing w:after="80" w:line="280"/>
      </w:pPr>
      <w:r>
        <w:rPr>
          <w:sz w:val="22"/>
          <w:szCs w:val="22"/>
        </w:rPr>
        <w:t xml:space="preserve">Collaborazione di ricerca attiva con Dr. Abdelhadi Belfadel (IRT SystemX, Palaiseau) — joint paper su distributed AAS extension, target IJAMT Q4 2026 / Q1 2027.</w:t>
      </w:r>
    </w:p>
    <w:p>
      <w:pPr>
        <w:pStyle w:val="ListParagraph"/>
        <w:numPr>
          <w:ilvl w:val="0"/>
          <w:numId w:val="3"/>
        </w:numPr>
        <w:spacing w:after="80" w:line="280"/>
      </w:pPr>
      <w:r>
        <w:rPr>
          <w:sz w:val="22"/>
          <w:szCs w:val="22"/>
        </w:rPr>
        <w:t xml:space="preserve">Accesso indiretto via SystemX a Renault, Valeo, Airbus, Safran, Thales (partner ex-Confiance.ai).</w:t>
      </w:r>
    </w:p>
    <w:p>
      <w:pPr>
        <w:pStyle w:val="ListParagraph"/>
        <w:numPr>
          <w:ilvl w:val="0"/>
          <w:numId w:val="3"/>
        </w:numPr>
        <w:spacing w:after="80" w:line="280"/>
      </w:pPr>
      <w:r>
        <w:rPr>
          <w:sz w:val="22"/>
          <w:szCs w:val="22"/>
        </w:rPr>
        <w:t xml:space="preserve">Co-supervisore Prof. Yi Li (Beihang) — accesso ecosistema startup cinese, futura GPU compute per fine-tuning.</w:t>
      </w:r>
    </w:p>
    <w:p>
      <w:pPr>
        <w:pStyle w:val="ListParagraph"/>
        <w:numPr>
          <w:ilvl w:val="0"/>
          <w:numId w:val="3"/>
        </w:numPr>
        <w:spacing w:after="80" w:line="280"/>
      </w:pPr>
      <w:r>
        <w:rPr>
          <w:sz w:val="22"/>
          <w:szCs w:val="22"/>
        </w:rPr>
        <w:t xml:space="preserve">Relatore Prof. Alessandro Simeone (Polito) — pro-collaborazione, riconosce IP della tesi al fondatore.</w:t>
      </w:r>
    </w:p>
    <w:p>
      <w:r>
        <w:br w:type="page"/>
      </w:r>
    </w:p>
    <w:p>
      <w:pPr>
        <w:pStyle w:val="Heading1"/>
        <w:spacing w:after="180" w:before="360"/>
      </w:pPr>
      <w:r>
        <w:t xml:space="preserve">8 · Go-to-Market</w:t>
      </w:r>
    </w:p>
    <w:p>
      <w:pPr>
        <w:pStyle w:val="Heading2"/>
        <w:spacing w:after="120" w:before="240"/>
      </w:pPr>
      <w:r>
        <w:t xml:space="preserve">8.1 Sequenza di entrata</w:t>
      </w:r>
    </w:p>
    <w:p>
      <w:pPr>
        <w:pStyle w:val="ListParagraph"/>
        <w:numPr>
          <w:ilvl w:val="0"/>
          <w:numId w:val="2"/>
        </w:numPr>
        <w:spacing w:after="80" w:line="280"/>
      </w:pPr>
      <w:r>
        <w:rPr>
          <w:sz w:val="22"/>
          <w:szCs w:val="22"/>
        </w:rPr>
        <w:t xml:space="preserve">Mese 1–3 — audit gratuiti a 3 design partner (1 automotive PdM, 1 robotics, 1 energy). Obiettivo: validare il deliverable, raccogliere feedback, generare la prima case study referenziabile.</w:t>
      </w:r>
    </w:p>
    <w:p>
      <w:pPr>
        <w:pStyle w:val="ListParagraph"/>
        <w:numPr>
          <w:ilvl w:val="0"/>
          <w:numId w:val="2"/>
        </w:numPr>
        <w:spacing w:after="80" w:line="280"/>
      </w:pPr>
      <w:r>
        <w:rPr>
          <w:sz w:val="22"/>
          <w:szCs w:val="22"/>
        </w:rPr>
        <w:t xml:space="preserve">Mese 4–9 — audit paid (€15–30k) a 8–12 clienti. Costruzione del dataset proprietario. Almeno 1 customer convertito a pilot DMCA Runtime.</w:t>
      </w:r>
    </w:p>
    <w:p>
      <w:pPr>
        <w:pStyle w:val="ListParagraph"/>
        <w:numPr>
          <w:ilvl w:val="0"/>
          <w:numId w:val="2"/>
        </w:numPr>
        <w:spacing w:after="80" w:line="280"/>
      </w:pPr>
      <w:r>
        <w:rPr>
          <w:sz w:val="22"/>
          <w:szCs w:val="22"/>
        </w:rPr>
        <w:t xml:space="preserve">Mese 10–18 — prime 2–3 vendite DMCA Runtime (€60–120k/anno). Raise pre-seed €500k–1M sulla base di trazione audit + pilot Runtime.</w:t>
      </w:r>
    </w:p>
    <w:p>
      <w:pPr>
        <w:pStyle w:val="ListParagraph"/>
        <w:numPr>
          <w:ilvl w:val="0"/>
          <w:numId w:val="2"/>
        </w:numPr>
        <w:spacing w:after="80" w:line="280"/>
      </w:pPr>
      <w:r>
        <w:rPr>
          <w:sz w:val="22"/>
          <w:szCs w:val="22"/>
        </w:rPr>
        <w:t xml:space="preserve">Mese 18–30 — lancio Fase 3 (optimization orchestration) come modulo aggiuntivo per Runtime customer. Raise Series A €3–7M con vision “deployment intelligence layer cross-vendor”.</w:t>
      </w:r>
    </w:p>
    <w:p>
      <w:pPr>
        <w:pStyle w:val="Heading2"/>
        <w:spacing w:after="120" w:before="240"/>
      </w:pPr>
      <w:r>
        <w:t xml:space="preserve">8.2 ICP precisi</w:t>
      </w:r>
    </w:p>
    <w:p>
      <w:pPr>
        <w:pStyle w:val="Heading3"/>
        <w:spacing w:after="100" w:before="180"/>
      </w:pPr>
      <w:r>
        <w:t xml:space="preserve">Audit (horizontal)</w:t>
      </w:r>
    </w:p>
    <w:p>
      <w:pPr>
        <w:pStyle w:val="ListParagraph"/>
        <w:numPr>
          <w:ilvl w:val="0"/>
          <w:numId w:val="3"/>
        </w:numPr>
        <w:spacing w:after="80" w:line="280"/>
      </w:pPr>
      <w:r>
        <w:rPr>
          <w:sz w:val="22"/>
          <w:szCs w:val="22"/>
        </w:rPr>
        <w:t xml:space="preserve">Tier-1 automotive (Valeo, Bosch, ZF, Continental, Magna)</w:t>
      </w:r>
    </w:p>
    <w:p>
      <w:pPr>
        <w:pStyle w:val="ListParagraph"/>
        <w:numPr>
          <w:ilvl w:val="0"/>
          <w:numId w:val="3"/>
        </w:numPr>
        <w:spacing w:after="80" w:line="280"/>
      </w:pPr>
      <w:r>
        <w:rPr>
          <w:sz w:val="22"/>
          <w:szCs w:val="22"/>
        </w:rPr>
        <w:t xml:space="preserve">Industrial robotics OEM (KUKA, Fanuc, ABB, Universal Robots)</w:t>
      </w:r>
    </w:p>
    <w:p>
      <w:pPr>
        <w:pStyle w:val="ListParagraph"/>
        <w:numPr>
          <w:ilvl w:val="0"/>
          <w:numId w:val="3"/>
        </w:numPr>
        <w:spacing w:after="80" w:line="280"/>
      </w:pPr>
      <w:r>
        <w:rPr>
          <w:sz w:val="22"/>
          <w:szCs w:val="22"/>
        </w:rPr>
        <w:t xml:space="preserve">Smart factory operator (Stellantis, Toyota, Siemens plants)</w:t>
      </w:r>
    </w:p>
    <w:p>
      <w:pPr>
        <w:pStyle w:val="ListParagraph"/>
        <w:numPr>
          <w:ilvl w:val="0"/>
          <w:numId w:val="3"/>
        </w:numPr>
        <w:spacing w:after="80" w:line="280"/>
      </w:pPr>
      <w:r>
        <w:rPr>
          <w:sz w:val="22"/>
          <w:szCs w:val="22"/>
        </w:rPr>
        <w:t xml:space="preserve">Energy / utility edge analytics (Enel X, EDF, ABB Hitachi)</w:t>
      </w:r>
    </w:p>
    <w:p>
      <w:pPr>
        <w:pStyle w:val="ListParagraph"/>
        <w:numPr>
          <w:ilvl w:val="0"/>
          <w:numId w:val="3"/>
        </w:numPr>
        <w:spacing w:after="80" w:line="280"/>
      </w:pPr>
      <w:r>
        <w:rPr>
          <w:sz w:val="22"/>
          <w:szCs w:val="22"/>
        </w:rPr>
        <w:t xml:space="preserve">Defense edge autonomy (Leonardo, Thales, Airbus Defence)</w:t>
      </w:r>
    </w:p>
    <w:p>
      <w:pPr>
        <w:pStyle w:val="ListParagraph"/>
        <w:numPr>
          <w:ilvl w:val="0"/>
          <w:numId w:val="3"/>
        </w:numPr>
        <w:spacing w:after="80" w:line="280"/>
      </w:pPr>
      <w:r>
        <w:rPr>
          <w:sz w:val="22"/>
          <w:szCs w:val="22"/>
        </w:rPr>
        <w:t xml:space="preserve">Medical edge devices (Olympus, Stryker robotics)</w:t>
      </w:r>
    </w:p>
    <w:p>
      <w:pPr>
        <w:pStyle w:val="Heading3"/>
        <w:spacing w:after="100" w:before="180"/>
      </w:pPr>
      <w:r>
        <w:t xml:space="preserve">DMCA Runtime (vertical stretto)</w:t>
      </w:r>
    </w:p>
    <w:p>
      <w:pPr>
        <w:pStyle w:val="ListParagraph"/>
        <w:numPr>
          <w:ilvl w:val="0"/>
          <w:numId w:val="3"/>
        </w:numPr>
        <w:spacing w:after="80" w:line="280"/>
      </w:pPr>
      <w:r>
        <w:rPr>
          <w:sz w:val="22"/>
          <w:szCs w:val="22"/>
        </w:rPr>
        <w:t xml:space="preserve">Tier-1 automotive PdM — default ICP. Fleet diversity reale, regolamentazione AI Act + ISO 21448 + ISO 26262.</w:t>
      </w:r>
    </w:p>
    <w:p>
      <w:pPr>
        <w:pStyle w:val="ListParagraph"/>
        <w:numPr>
          <w:ilvl w:val="0"/>
          <w:numId w:val="3"/>
        </w:numPr>
        <w:spacing w:after="80" w:line="280"/>
      </w:pPr>
      <w:r>
        <w:rPr>
          <w:sz w:val="22"/>
          <w:szCs w:val="22"/>
        </w:rPr>
        <w:t xml:space="preserve">Industrial robotics OEM — secondario, integration complexity simile, safety-criticality leggermente minore.</w:t>
      </w:r>
    </w:p>
    <w:p>
      <w:pPr>
        <w:pStyle w:val="Heading2"/>
        <w:spacing w:after="120" w:before="240"/>
      </w:pPr>
      <w:r>
        <w:t xml:space="preserve">8.3 Pricing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Prodotto</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Ticket entry</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Ticket scale</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Recurring?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Audit (1 modello, 1 HW)</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€15k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€25–50k (multi-modello, multi-HW)</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Remediation by optimization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€30k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€80k</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DMCA Runtime (singolo site)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€60k/anno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€250k/anno</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SÌ</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DMCA Fleet (multi-site)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€300k/anno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€1M+/anno</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SÌ</w:t>
            </w:r>
          </w:p>
        </w:tc>
      </w:tr>
    </w:tbl>
    <w:p>
      <w:r>
        <w:br w:type="page"/>
      </w:r>
    </w:p>
    <w:p>
      <w:pPr>
        <w:pStyle w:val="Heading1"/>
        <w:spacing w:after="180" w:before="360"/>
      </w:pPr>
      <w:r>
        <w:t xml:space="preserve">9 · Roadmap 18 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Periodo</w:t>
            </w:r>
          </w:p>
        </w:tc>
        <w:tc>
          <w:tcPr>
            <w:tcW w:type="dxa" w:w="3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Tesi + ricerca</w:t>
            </w:r>
          </w:p>
        </w:tc>
        <w:tc>
          <w:tcPr>
            <w:tcW w:type="dxa" w:w="3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AlignEdge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Lug 2026</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Difesa tesi — chiusura cap. 3–4 con moduli Categoria 1</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Founder program kickoff. Email RIMIN/TRIN inviate. Wedge audit definito.</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Ago–Set 2026</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Joint paper SystemX draft §6 (distributed AAS)</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 design partner audit gratuiti firmati. Incorporation Italia o Cayman+EU.</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Ott–Dic 2026</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Sottomissione paper IJAMT</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Primi 3 audit paid. Audit dataset = 6 deployment reali.</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Q1 2027</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Eventuale fine-tuning su GPU Beihang</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Pre-seed €500k–1M (FFF + angel + I3P). Hire 1–2 engineer.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Q2–Q3 2027</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Eventuale paper Fase 3 optimization</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Primo pilot DMCA Runtime firmato (tier-1 automotive). Annual ARR target €200k.</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Q4 2027</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Lancio modulo Optimization Orchestration in beta. ARR target €500k.</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Q1–Q2 2028</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Raise Series A €3–7M (EIC + tier-1 EU VC). ARR target €1.5M.</w:t>
            </w:r>
          </w:p>
        </w:tc>
      </w:tr>
    </w:tbl>
    <w:p>
      <w:r>
        <w:br w:type="page"/>
      </w:r>
    </w:p>
    <w:p>
      <w:pPr>
        <w:pStyle w:val="Heading1"/>
        <w:spacing w:after="180" w:before="360"/>
      </w:pPr>
      <w:r>
        <w:t xml:space="preserve">10 · Asks per il Founder Program</w:t>
      </w:r>
    </w:p>
    <w:p>
      <w:pPr>
        <w:spacing w:after="120" w:line="300"/>
        <w:jc w:val="left"/>
      </w:pPr>
      <w:r>
        <w:rPr>
          <w:b w:val="false"/>
          <w:bCs w:val="false"/>
          <w:i w:val="false"/>
          <w:iCs w:val="false"/>
          <w:sz w:val="22"/>
          <w:szCs w:val="22"/>
        </w:rPr>
        <w:t xml:space="preserve">Cosa cerco di concreto in queste 12 settimane di programma, in ordine di priorità:</w:t>
      </w:r>
    </w:p>
    <w:p>
      <w:pPr>
        <w:pStyle w:val="ListParagraph"/>
        <w:numPr>
          <w:ilvl w:val="0"/>
          <w:numId w:val="2"/>
        </w:numPr>
        <w:spacing w:after="80" w:line="280"/>
      </w:pPr>
      <w:r>
        <w:rPr>
          <w:sz w:val="22"/>
          <w:szCs w:val="22"/>
        </w:rPr>
        <w:t xml:space="preserve">Introduzioni a 3 potenziali design partner per audit: idealmente 1 tier-1 automotive, 1 industrial robotics, 1 vertical wildcard. Cerco i “yes-able” — chi può firmare un audit gratuito in 2–3 settimane senza passare da legal infiniti.</w:t>
      </w:r>
    </w:p>
    <w:p>
      <w:pPr>
        <w:pStyle w:val="ListParagraph"/>
        <w:numPr>
          <w:ilvl w:val="0"/>
          <w:numId w:val="2"/>
        </w:numPr>
        <w:spacing w:after="80" w:line="280"/>
      </w:pPr>
      <w:r>
        <w:rPr>
          <w:sz w:val="22"/>
          <w:szCs w:val="22"/>
        </w:rPr>
        <w:t xml:space="preserve">Mentor con esperienza ML observability o edge AI deployment — idealmente con uscita da OctoML, Edge Impulse, Modzy, o tier-1 OEM ML team.</w:t>
      </w:r>
    </w:p>
    <w:p>
      <w:pPr>
        <w:pStyle w:val="ListParagraph"/>
        <w:numPr>
          <w:ilvl w:val="0"/>
          <w:numId w:val="2"/>
        </w:numPr>
        <w:spacing w:after="80" w:line="280"/>
      </w:pPr>
      <w:r>
        <w:rPr>
          <w:sz w:val="22"/>
          <w:szCs w:val="22"/>
        </w:rPr>
        <w:t xml:space="preserve">Feedback su pricing audit: il range €15–50k è calibrato sul mercato consulting EU; potenzialmente più alto per defense/medical, più basso per robotics SME. Validare con chi ha venduto productized audit in altri verticali.</w:t>
      </w:r>
    </w:p>
    <w:p>
      <w:pPr>
        <w:pStyle w:val="ListParagraph"/>
        <w:numPr>
          <w:ilvl w:val="0"/>
          <w:numId w:val="2"/>
        </w:numPr>
        <w:spacing w:after="80" w:line="280"/>
      </w:pPr>
      <w:r>
        <w:rPr>
          <w:sz w:val="22"/>
          <w:szCs w:val="22"/>
        </w:rPr>
        <w:t xml:space="preserve">Introduzioni a fondi che capiscono deep-tech + cross-border IT/CN: NATO Innovation Fund, EIC Accelerator coordinator, Atlantic Bridge, Lakestar, Hoxton.</w:t>
      </w:r>
    </w:p>
    <w:p>
      <w:pPr>
        <w:pStyle w:val="ListParagraph"/>
        <w:numPr>
          <w:ilvl w:val="0"/>
          <w:numId w:val="2"/>
        </w:numPr>
        <w:spacing w:after="80" w:line="280"/>
      </w:pPr>
      <w:r>
        <w:rPr>
          <w:sz w:val="22"/>
          <w:szCs w:val="22"/>
        </w:rPr>
        <w:t xml:space="preserve">Avvocato cross-border IT/CN tech — servirà per qualunque term sheet del programma e per la successiva incorporation.</w:t>
      </w:r>
    </w:p>
    <w:p>
      <w:pPr>
        <w:pStyle w:val="Heading2"/>
        <w:spacing w:after="120" w:before="240"/>
      </w:pPr>
      <w:r>
        <w:t xml:space="preserve">Cosa NON cerco al programma</w:t>
      </w:r>
    </w:p>
    <w:p>
      <w:pPr>
        <w:pStyle w:val="ListParagraph"/>
        <w:numPr>
          <w:ilvl w:val="0"/>
          <w:numId w:val="3"/>
        </w:numPr>
        <w:spacing w:after="80" w:line="280"/>
      </w:pPr>
      <w:r>
        <w:rPr>
          <w:sz w:val="22"/>
          <w:szCs w:val="22"/>
        </w:rPr>
        <w:t xml:space="preserve">Firme su term sheet sul posto (anche per il premio in denaro — cfr. memo IP §10C).</w:t>
      </w:r>
    </w:p>
    <w:p>
      <w:pPr>
        <w:pStyle w:val="ListParagraph"/>
        <w:numPr>
          <w:ilvl w:val="0"/>
          <w:numId w:val="3"/>
        </w:numPr>
        <w:spacing w:after="80" w:line="280"/>
      </w:pPr>
      <w:r>
        <w:rPr>
          <w:sz w:val="22"/>
          <w:szCs w:val="22"/>
        </w:rPr>
        <w:t xml:space="preserve">Pressure per incorporation immediata in Cina — conflitto con positioning EU sales.</w:t>
      </w:r>
    </w:p>
    <w:p>
      <w:pPr>
        <w:pStyle w:val="ListParagraph"/>
        <w:numPr>
          <w:ilvl w:val="0"/>
          <w:numId w:val="3"/>
        </w:numPr>
        <w:spacing w:after="80" w:line="280"/>
      </w:pPr>
      <w:r>
        <w:rPr>
          <w:sz w:val="22"/>
          <w:szCs w:val="22"/>
        </w:rPr>
        <w:t xml:space="preserve">Disclosure tecnico full in stanza con altri founder — alcuni sono potenziali competitor inconsci.</w:t>
      </w:r>
    </w:p>
    <w:p>
      <w:pPr>
        <w:pStyle w:val="ListParagraph"/>
        <w:numPr>
          <w:ilvl w:val="0"/>
          <w:numId w:val="3"/>
        </w:numPr>
        <w:spacing w:after="80" w:line="280"/>
      </w:pPr>
      <w:r>
        <w:rPr>
          <w:sz w:val="22"/>
          <w:szCs w:val="22"/>
        </w:rPr>
        <w:t xml:space="preserve">Commitment full-time pre-difesa luglio 2026.</w:t>
      </w:r>
    </w:p>
    <w:p>
      <w:r>
        <w:br w:type="page"/>
      </w:r>
    </w:p>
    <w:p>
      <w:pPr>
        <w:pStyle w:val="Heading1"/>
        <w:spacing w:after="180" w:before="360"/>
      </w:pPr>
      <w:r>
        <w:t xml:space="preserve">11 · Chiusura</w:t>
      </w:r>
    </w:p>
    <w:p>
      <w:pPr>
        <w:pBdr>
          <w:left w:val="single" w:color="1F4E79" w:sz="24" w:space="12"/>
        </w:pBdr>
        <w:spacing w:after="200" w:before="120" w:line="300"/>
        <w:ind w:left="720" w:right="720"/>
      </w:pPr>
      <w:r>
        <w:rPr>
          <w:i/>
          <w:iCs/>
          <w:color w:val="404040"/>
          <w:sz w:val="22"/>
          <w:szCs w:val="22"/>
        </w:rPr>
        <w:t xml:space="preserve">“La manutenzione del modello è al modello AI ciò che la manutenzione predittiva è alle macchine. È un layer di runtime, non di training. È quello che farà la differenza tra modelli che restano in produzione 6 settimane e modelli che restano in produzione 6 anni.”</w:t>
      </w:r>
    </w:p>
    <w:p>
      <w:pPr>
        <w:spacing w:after="120" w:line="300"/>
        <w:jc w:val="left"/>
      </w:pPr>
      <w:r>
        <w:rPr>
          <w:b w:val="false"/>
          <w:bCs w:val="false"/>
          <w:i w:val="false"/>
          <w:iCs w:val="false"/>
          <w:sz w:val="22"/>
          <w:szCs w:val="22"/>
        </w:rPr>
        <w:t xml:space="preserve">AlignEdge entra in un mercato senza incumbent diretto, con un wedge concreto (audit), un core difendibile (DMCA Runtime), e una visione platform (cross-vendor orchestration). I tre layer si rinforzano: ogni audit alimenta il dataset proprietario che potenzia Runtime, che a sua volta giustifica la scala di Optimization Orchestration.</w:t>
      </w:r>
    </w:p>
    <w:p>
      <w:pPr>
        <w:spacing w:after="120" w:line="300"/>
        <w:jc w:val="left"/>
      </w:pPr>
      <w:r>
        <w:rPr>
          <w:b w:val="false"/>
          <w:bCs w:val="false"/>
          <w:i w:val="false"/>
          <w:iCs w:val="false"/>
          <w:sz w:val="22"/>
          <w:szCs w:val="22"/>
        </w:rPr>
        <w:t xml:space="preserve">La finestra è 18–24 mesi prima che NVIDIA, un MLOps platform vendor, o un consortium di tier-1 occupi lo spazio. La squadra parte oggi con asset rari per la fase: tesi validata, dati canonici, network industriale, strategia IP documentata, asse IT/CN attivo.</w:t>
      </w:r>
    </w:p>
    <w:p>
      <w:pPr>
        <w:spacing w:after="120" w:line="300"/>
        <w:jc w:val="left"/>
      </w:pPr>
      <w:r>
        <w:rPr>
          <w:b w:val="false"/>
          <w:bCs w:val="false"/>
          <w:i w:val="false"/>
          <w:iCs w:val="false"/>
          <w:sz w:val="22"/>
          <w:szCs w:val="22"/>
        </w:rPr>
        <w:t xml:space="preserve">Il founder program è il momento per passare da memo a esperimento. Dal lunedì 30 giugno: ascolto + setup design partner + chiusura framework IP via Polito TTO + primo audit gratuito firmato entro fine luglio.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Pagina </w:t>
    </w:r>
    <w:r>
      <w:rPr>
        <w:color w:val="808080"/>
        <w:sz w:val="18"/>
        <w:szCs w:val="18"/>
      </w:rPr>
      <w:fldChar w:fldCharType="begin"/>
      <w:instrText xml:space="preserve">PAGE</w:instrText>
      <w:fldChar w:fldCharType="separate"/>
      <w:fldChar w:fldCharType="end"/>
    </w:r>
    <w:r>
      <w:rPr>
        <w:color w:val="808080"/>
        <w:sz w:val="18"/>
        <w:szCs w:val="18"/>
      </w:rPr>
      <w:t xml:space="preserve"> — K. Omede — 29.06.2026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AlignEdge — Pitch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AlignEdge Pitch Document</dc:title>
  <dc:creator>Kevin Omede</dc:creator>
  <dc:description>Strategia 3 fasi: Audit, DMCA Runtime, Optimization Orchestration</dc:description>
  <cp:lastModifiedBy>Un-named</cp:lastModifiedBy>
  <cp:revision>1</cp:revision>
  <dcterms:created xsi:type="dcterms:W3CDTF">2026-06-29T05:50:07.086Z</dcterms:created>
  <dcterms:modified xsi:type="dcterms:W3CDTF">2026-06-29T05:50:07.086Z</dcterms:modified>
</cp:coreProperties>
</file>

<file path=docProps/custom.xml><?xml version="1.0" encoding="utf-8"?>
<Properties xmlns="http://schemas.openxmlformats.org/officeDocument/2006/custom-properties" xmlns:vt="http://schemas.openxmlformats.org/officeDocument/2006/docPropsVTypes"/>
</file>