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4D"/>
        </w:rPr>
        <w:t>DMCA for Smart Manufacturing</w:t>
      </w:r>
    </w:p>
    <w:p>
      <w:pPr>
        <w:jc w:val="center"/>
      </w:pPr>
      <w:r>
        <w:rPr>
          <w:i/>
          <w:sz w:val="24"/>
        </w:rPr>
        <w:t>Paper Skeleton v0.3 + Phase 2 Lifecycle Loop Design — for IJAMT submission and IRT SystemX joint collaboration</w:t>
      </w:r>
    </w:p>
    <w:p>
      <w:pPr>
        <w:jc w:val="center"/>
      </w:pPr>
      <w:r>
        <w:rPr>
          <w:i/>
          <w:sz w:val="19"/>
        </w:rPr>
        <w:t>Lead author: Kevin Omede  ·  Politecnico di Torino × Beihang University  ·  Status: v0.3, pre-call SystemX 2026-06-26</w:t>
      </w:r>
    </w:p>
    <w:p/>
    <w:p>
      <w:pPr>
        <w:pStyle w:val="Heading1"/>
      </w:pPr>
      <w:r>
        <w:rPr>
          <w:rFonts w:ascii="Arial" w:hAnsi="Arial"/>
          <w:color w:val="1F364D"/>
        </w:rPr>
        <w:t>1 · Manuscript scope</w:t>
      </w:r>
    </w:p>
    <w:p>
      <w:r>
        <w:rPr>
          <w:rFonts w:ascii="Arial" w:hAnsi="Arial"/>
          <w:b w:val="0"/>
          <w:i w:val="0"/>
          <w:sz w:val="22"/>
        </w:rPr>
        <w:t>Target journal: International Journal of Advanced Manufacturing Technology (IJAMT, Springer). Target length: 16 pages including references. Submission window: to be aligned with co-authors.</w:t>
      </w:r>
    </w:p>
    <w:p>
      <w:r>
        <w:rPr>
          <w:rFonts w:ascii="Arial" w:hAnsi="Arial"/>
          <w:b w:val="0"/>
          <w:i/>
          <w:sz w:val="22"/>
        </w:rPr>
        <w:t>Proposed title: Digital-Twin-Driven Adaptive Model Selection and Drift Recovery for Predictive Maintenance in Smart Manufacturing.</w:t>
      </w:r>
    </w:p>
    <w:p>
      <w:r>
        <w:rPr>
          <w:rFonts w:ascii="Arial" w:hAnsi="Arial"/>
          <w:b w:val="0"/>
          <w:i w:val="0"/>
          <w:sz w:val="22"/>
        </w:rPr>
        <w:t>The manuscript repositions the underlying DMCA framework (originally an Industry 4.0 generic adaptive ML loop) on Smart Manufacturing predictive maintenance, anchored on (a) rotating-machinery bearing degradation, (b) AAS-based digital twin standards, and (c) operational coverage constraints on industrial edge devices.</w:t>
      </w:r>
    </w:p>
    <w:p>
      <w:pPr>
        <w:pStyle w:val="Heading1"/>
      </w:pPr>
      <w:r>
        <w:rPr>
          <w:rFonts w:ascii="Arial" w:hAnsi="Arial"/>
          <w:color w:val="1F364D"/>
        </w:rPr>
        <w:t>2 · Authorship and attribution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32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01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Affiliation</w:t>
            </w:r>
          </w:p>
        </w:tc>
        <w:tc>
          <w:tcPr>
            <w:tcW w:type="dxa" w:w="345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Primary section ownership</w:t>
            </w:r>
          </w:p>
        </w:tc>
        <w:tc>
          <w:tcPr>
            <w:tcW w:type="dxa" w:w="2448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9"/>
              </w:rPr>
              <w:t>K. Omede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Polito × Beihang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§1, §3, §5, §7 (lead), §8, §9, §11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Lead author, executor, framework + experiments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9"/>
              </w:rPr>
              <w:t>Prof. A. Simeone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Politecnico di Torino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§2 (manufacturing PM literature), §7 case study review, §10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Senior IT, manufacturing framing, IJAMT editorial relationship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9"/>
              </w:rPr>
              <w:t>Prof. Yi Li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Beihang University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§4 (Digital Twin model, AAS conceptualization), §10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Senior CN, DT modeling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9"/>
              </w:rPr>
              <w:t>Dr. A. Belfadel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IRT SystemX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§6 (distributed AAS extension), §2 standards positioning, §10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9"/>
              </w:rPr>
              <w:t>Technical collaborator FR, AAS / IEC 63278 expertise</w:t>
            </w:r>
          </w:p>
        </w:tc>
      </w:tr>
    </w:tbl>
    <w:p>
      <w:r>
        <w:rPr>
          <w:rFonts w:ascii="Arial" w:hAnsi="Arial"/>
          <w:b w:val="0"/>
          <w:i/>
          <w:sz w:val="20"/>
        </w:rPr>
        <w:t>Note: Prof. N. Anwer (Paris-Saclay/LURPA) introduced the FR collaboration but is not a co-author (out of bandwidth per his communication; never confirmed direct authorship).</w:t>
      </w:r>
    </w:p>
    <w:p>
      <w:pPr>
        <w:pStyle w:val="Heading1"/>
      </w:pPr>
      <w:r>
        <w:rPr>
          <w:rFonts w:ascii="Arial" w:hAnsi="Arial"/>
          <w:color w:val="1F364D"/>
        </w:rPr>
        <w:t>3 · Manufacturing legitimacy — anchoring argument</w:t>
      </w:r>
    </w:p>
    <w:p>
      <w:r>
        <w:rPr>
          <w:rFonts w:ascii="Arial" w:hAnsi="Arial"/>
          <w:b w:val="0"/>
          <w:i w:val="0"/>
          <w:sz w:val="22"/>
        </w:rPr>
        <w:t>Three repositioning moves close the manufacturing gap for IJAMT: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Manufacturing PM economics in §1: cite Aberdeen / Senseye 2024 — general manufacturing unplanned downtime $260k/h, automotive $2.3M/h, Fortune 500 lose 11% of revenue annually. Two-thirds of plants experience monthly unplanned downtime averaging $2M per event. PM is the Industry 4.0 use case zero.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Real PM bearing datasets in §7: PRONOSTIA (FEMTO-ST, PHM 2012 Challenge) and IMS Center (NASA Prognostics Data Repository). CMAPSS retained as aerospace-MRO secondary; ETT-h1 as industrial-energy-infrastructure secondary. Three verticals → multi-asset framework validation.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Manufacturing-aware DT submodel additions in §4: production line criticality tier (A/B/C), IT-OT positioning, Safety Integrity Level (SIL), operator certification level (L1/L2/L3). Closes the manufacturing-context gap of the static Phase 1 AAS.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ISO 10816 vibration severity zones as the bridge from accelerated bench data (PRONOSTIA, minutes) to industrial timing (IMS, days; field bearings, weeks). Standards anchor that scales the empirical results.</w:t>
      </w:r>
    </w:p>
    <w:p>
      <w:pPr>
        <w:pStyle w:val="Heading1"/>
      </w:pPr>
      <w:r>
        <w:rPr>
          <w:rFonts w:ascii="Arial" w:hAnsi="Arial"/>
          <w:color w:val="1F364D"/>
        </w:rPr>
        <w:t>4 · Manuscript outline and page allocation (16 pages)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64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Pages</w:t>
            </w:r>
          </w:p>
        </w:tc>
        <w:tc>
          <w:tcPr>
            <w:tcW w:type="dxa" w:w="201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432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1. Introduction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Manufacturing PM motivation, economics, contribution 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2. Related Work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Simeone + Belfadel + 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Manufacturing PM, AAS standards, model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3. Problem Statement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0.5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PM admissibility + drift + economic framing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4. Digital Twin Model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Yi Li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AAS-based DT, manufacturing-aware submodels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5. DMCA Framework Architecture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5-stage closed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6. Distributed AAS Extension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Belfadel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Cloud/fog/edge submodels, TOPSIS-as-service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7. Manufacturing Case Studies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2.5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Simeone + 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PRONOSTIA + IMS missed-alarm simulation, Stage 2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8. Implementation &amp; Validation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Drift classifier, design decisions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9. Results &amp; Analysis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1.5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Latency cluster, SLA paradox, missed-alarm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10. Discussion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0.5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All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Manufacturing implications, standards alignment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11. Conclusion &amp; Future Work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0.5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Kevin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Closure + Phase 2 lifecycle loop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References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sz w:val="19"/>
              </w:rPr>
              <w:t>0.5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9"/>
              </w:rPr>
              <w:t>All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30-40 refs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F364D"/>
        </w:rPr>
        <w:t>5 · Today's experimental results — Stage 2 validation on manufacturing data</w:t>
      </w:r>
    </w:p>
    <w:p>
      <w:r>
        <w:rPr>
          <w:rFonts w:ascii="Arial" w:hAnsi="Arial"/>
          <w:b w:val="0"/>
          <w:i w:val="0"/>
          <w:sz w:val="22"/>
        </w:rPr>
        <w:t>A missed-alarm-cascade simulation was executed today on both target datasets, isolating the temporal-coverage variable (Stage 2 admissibility) from model-accuracy. The simulation assumes ideal detection accuracy on processed monitoring windows: the differentiator is how many windows each model actually serves within the Jetson Nano 50 ms SLA budget.</w:t>
      </w:r>
    </w:p>
    <w:p>
      <w:r>
        <w:rPr>
          <w:rFonts w:ascii="Arial" w:hAnsi="Arial"/>
          <w:b w:val="0"/>
          <w:i/>
          <w:sz w:val="22"/>
        </w:rPr>
        <w:t>This is an upper bound on the SLA-violating model — any real model with imperfect accuracy would perform worse, not better. The reported gap is therefore a conservative lower bound on the real operational gap.</w:t>
      </w:r>
    </w:p>
    <w:p>
      <w:pPr>
        <w:pStyle w:val="Heading2"/>
      </w:pPr>
      <w:r>
        <w:rPr>
          <w:rFonts w:ascii="Arial" w:hAnsi="Arial"/>
          <w:color w:val="1F364D"/>
        </w:rPr>
        <w:t>5.1 · PRONOSTIA — 6 training bearings (real PHM 2012 data)</w:t>
      </w:r>
    </w:p>
    <w:p>
      <w:r>
        <w:rPr>
          <w:rFonts w:ascii="Arial" w:hAnsi="Arial"/>
          <w:b w:val="0"/>
          <w:i w:val="0"/>
          <w:sz w:val="22"/>
        </w:rPr>
        <w:t>Setup: σ=3, action window 5 min, baseline = first 10% of trace. Coverage rates from canonical T4 benchmark: PatchTST 85%, Lag-Llama 64%, Moirai-Small 9.3%.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Bearing</w:t>
            </w:r>
          </w:p>
        </w:tc>
        <w:tc>
          <w:tcPr>
            <w:tcW w:type="dxa" w:w="1008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Trace (min)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PatchTST alarms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Lag-Llama alarms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Moirai-S alarms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PatchTST lead (s)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Moirai-S lead (s)</w:t>
            </w:r>
          </w:p>
        </w:tc>
        <w:tc>
          <w:tcPr>
            <w:tcW w:type="dxa" w:w="129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Moirai-S actionable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Bearing1_1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467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1044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523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97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27780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27690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Bearing1_2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145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340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Bearing2_1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152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8770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8770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Bearing2_2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133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563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281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5670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5540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Bearing3_1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86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4920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4920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Bearing3_2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9"/>
              </w:rPr>
              <w:t>273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390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190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sz w:val="19"/>
              </w:rPr>
              <w:t>NO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Headline: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Alarm-density ratio mean: 10.4 (range 7.7–14.5 cross-bearing), tightly clustered around coverage-predicted 10.7×.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Bearing3_2 is the safety-critical demonstration: SLA-compliant PatchTST raises first alarm at 390 s pre-failure (actionable, ≥ 300 s action window); SLA-violating Moirai-S raises first alarm at 190 s (not actionable). The framework correctly distinguishes admissible from non-admissible for the asset whose rapid-failure profile leaves no time for late detection.</w:t>
      </w:r>
    </w:p>
    <w:p>
      <w:pPr>
        <w:pStyle w:val="Heading2"/>
      </w:pPr>
      <w:r>
        <w:rPr>
          <w:rFonts w:ascii="Arial" w:hAnsi="Arial"/>
          <w:color w:val="1F364D"/>
        </w:rPr>
        <w:t>5.2 · IMS Center — Bearing 1 of Test 2 (real NASA data)</w:t>
      </w:r>
    </w:p>
    <w:p>
      <w:r>
        <w:rPr>
          <w:rFonts w:ascii="Arial" w:hAnsi="Arial"/>
          <w:b w:val="0"/>
          <w:i w:val="0"/>
          <w:sz w:val="22"/>
        </w:rPr>
        <w:t>Setup: 766 acquisitions × 10-minute interval = 127.7 hours = 5.3 days of realistic industrial timing. Action window: 24 h (industrial PM scheduling). Documented failure: outer race [Lee et al. 2007 dataset notes].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Alarms</w:t>
            </w:r>
          </w:p>
        </w:tc>
        <w:tc>
          <w:tcPr>
            <w:tcW w:type="dxa" w:w="3168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First-alarm lead (h)</w:t>
            </w:r>
          </w:p>
        </w:tc>
        <w:tc>
          <w:tcPr>
            <w:tcW w:type="dxa" w:w="288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Actionable (≥24h)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PatchTST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233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38.7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Lag-Llama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116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38.5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Moirai-S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35.8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YES</w:t>
            </w:r>
          </w:p>
        </w:tc>
      </w:tr>
    </w:tbl>
    <w:p>
      <w:r>
        <w:rPr>
          <w:rFonts w:ascii="Arial" w:hAnsi="Arial"/>
          <w:b/>
          <w:i w:val="0"/>
          <w:sz w:val="22"/>
        </w:rPr>
        <w:t>Headline: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Alarm-density ratio: 11.6 (233/20) — coherent with PRONOSTIA 10.4. The coverage-driven gap is invariant to the temporal regime (minutes vs days).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All models actionable at 24h action window. The differentiator is confirmation density (trend visibility): the SLA-compliant deployment gives the operator a clear continuous trend; the SLA-violating one gives sparse confirmation points indistinguishable from sensor noise under typical alarm-management baselines (ISA-18.2).</w:t>
      </w:r>
    </w:p>
    <w:p>
      <w:pPr>
        <w:pStyle w:val="Heading2"/>
      </w:pPr>
      <w:r>
        <w:rPr>
          <w:rFonts w:ascii="Arial" w:hAnsi="Arial"/>
          <w:color w:val="1F364D"/>
        </w:rPr>
        <w:t>5.3 · Cross-dataset validation</w:t>
      </w:r>
    </w:p>
    <w:p>
      <w:r>
        <w:rPr>
          <w:rFonts w:ascii="Arial" w:hAnsi="Arial"/>
          <w:b w:val="0"/>
          <w:i w:val="0"/>
          <w:sz w:val="22"/>
        </w:rPr>
        <w:t>The alarm-density ratio is constant at 10–12× across PRONOSTIA accelerated bench (minutes-to-hours) and IMS realistic industrial timing (days), confirming that the gap is purely a function of coverage rate (SLA-vs-latency ratio), independent of degradation rate. The principle scales from accelerated test bench to industrial deployment.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64D"/>
        </w:rPr>
        <w:t>6 · Phase 2 — Full DMCA lifecycle loop on bearing-replacement scenario</w:t>
      </w:r>
    </w:p>
    <w:p>
      <w:r>
        <w:rPr>
          <w:rFonts w:ascii="Arial" w:hAnsi="Arial"/>
          <w:b w:val="0"/>
          <w:i w:val="0"/>
          <w:sz w:val="22"/>
        </w:rPr>
        <w:t>The Stage 2 admissibility validation above demonstrates ONE building block of DMCA on manufacturing data. To strengthen the manuscript and demonstrate the unique value of DMCA (closed-loop adaptive selection), we design a Phase 2 experiment that runs the full 5-stage loop on a realistic operational lifecycle: continuous monitoring of bearings, maintenance scheduling, hot model swap, and re-selection on a replaced asset. This is the primary new contribution proposed for the joint paper with IRT SystemX.</w:t>
      </w:r>
    </w:p>
    <w:p>
      <w:pPr>
        <w:pStyle w:val="Heading2"/>
      </w:pPr>
      <w:r>
        <w:rPr>
          <w:rFonts w:ascii="Arial" w:hAnsi="Arial"/>
          <w:color w:val="1F364D"/>
        </w:rPr>
        <w:t>6.1 · Operational scenario</w:t>
      </w:r>
    </w:p>
    <w:p>
      <w:r>
        <w:rPr>
          <w:rFonts w:ascii="Arial" w:hAnsi="Arial"/>
          <w:b w:val="0"/>
          <w:i w:val="0"/>
          <w:sz w:val="22"/>
        </w:rPr>
        <w:t>The simulation reproduces a real maintenance lifecycle: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Initial state: a bearing is monitored by an admissible DMCA model under Jetson Nano 50 ms SLA (e.g., PatchTST, latency-optimized for early-warning detection).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Degradation onset: bearing RMS rises. Stage 4 drift detector fires; Stage 2 admissibility raises the operational alarm. Maintenance window scheduled within action_window threshold.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Pre-maintenance model swap: in advance of the planned line stoppage, Stage 5 swaps to a steady-state monitoring model (e.g., MOMENT-L, baseline-stable for long-term healthy monitoring). The pre-swap is OTA during a permitted operational window.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Physical bearing replacement: operator + maintenance team replace the failing bearing during the scheduled stoppage. New bearing installed.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Post-replacement re-selection: new bearing presents a new signal baseline (lower healthy RMS, different σ, possibly different sensor calibration). Stage 1 re-profiles the asset context; Stage 2 re-runs TOPSIS over the model registry; the system selects the model best suited to the new asset baseline (potentially back to PatchTST, potentially a different choice if context changed).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Continuous loop: monitoring resumes, the cycle repeats across multiple bearings over the asset fleet lifetime.</w:t>
      </w:r>
    </w:p>
    <w:p>
      <w:pPr>
        <w:pStyle w:val="Heading2"/>
      </w:pPr>
      <w:r>
        <w:rPr>
          <w:rFonts w:ascii="Arial" w:hAnsi="Arial"/>
          <w:color w:val="1F364D"/>
        </w:rPr>
        <w:t>6.2 · Technical implementation plan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What needs to be built</w:t>
            </w:r>
          </w:p>
        </w:tc>
        <w:tc>
          <w:tcPr>
            <w:tcW w:type="dxa" w:w="1872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Lifecycle data stitching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Concatenate PRONOSTIA bearing traces in sequence to simulate continuous monitoring across maintenance events; tag transitions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Multi-model registry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Pre-benchmarked models with complementary profiles: detection-sensitive, monitoring-stable, fallback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 (models already benchmarked in thesis)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Stage 4 drift typology extension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Extend v3.1.1 classifier to distinguish degradation-driven drift (no model swap, physical alarm) vs context-shift drift (model swap, no physical action). See §6.3.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 (semantic refinement, key novelty)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Stage 5 hot-swap mechanics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Atomic model swap during permitted operational window; rollback on regression; shadow validation post-swap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End-to-end loop orchestrator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Workflow integrating all stages over the stitched lifecycle data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Evaluation harness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Metrics: total detection latency, swap latency, post-swap stabilization time, lifecycle MAE, alarm rate vs ISA-18.2 budget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Lead author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Distributed AAS substrate</w:t>
            </w:r>
          </w:p>
        </w:tc>
        <w:tc>
          <w:tcPr>
            <w:tcW w:type="dxa" w:w="5760"/>
          </w:tcPr>
          <w:p>
            <w:r/>
            <w:r>
              <w:rPr>
                <w:rFonts w:ascii="Arial" w:hAnsi="Arial"/>
                <w:sz w:val="19"/>
              </w:rPr>
              <w:t>Cloud/fog/edge submodel infrastructure on which lifecycle events and model-swap operations are exposed as DT service operations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IRT SystemX (Belfadel)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  <w:t>Output: full DMCA loop empirically demonstrated on manufacturing lifecycle data, primary novel contribution of the joint paper. The lead author owns the framework end-to-end (Stages 2–5); the IRT SystemX contribution is bounded to the Stage 1 distributed AAS infrastructure on which the loop operates.</w:t>
      </w:r>
    </w:p>
    <w:p>
      <w:pPr>
        <w:pStyle w:val="Heading2"/>
      </w:pPr>
      <w:r>
        <w:rPr>
          <w:rFonts w:ascii="Arial" w:hAnsi="Arial"/>
          <w:color w:val="1F364D"/>
        </w:rPr>
        <w:t>6.3 · Drift typology refinement: degradation vs context-shift</w:t>
      </w:r>
    </w:p>
    <w:p>
      <w:r>
        <w:rPr>
          <w:rFonts w:ascii="Arial" w:hAnsi="Arial"/>
          <w:b w:val="0"/>
          <w:i w:val="0"/>
          <w:sz w:val="22"/>
        </w:rPr>
        <w:t>Currently the v3.1.1 drift classifier (thesis, Stage 4) distinguishes 7 drift types and applies a SWAP/NO_SWAP policy based on drift mode (ABRUPT/GRADUAL/INCREMENTAL/DISTRIBUTION_SHIFT → SWAP; VARIANCE_SHIFT/OUTLIER_DRIVEN → NO_SWAP). However, this policy does not yet distinguish between two semantically distinct causes: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Observed pattern</w:t>
            </w:r>
          </w:p>
        </w:tc>
        <w:tc>
          <w:tcPr>
            <w:tcW w:type="dxa" w:w="345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Most likely cause</w:t>
            </w:r>
          </w:p>
        </w:tc>
        <w:tc>
          <w:tcPr>
            <w:tcW w:type="dxa" w:w="4176"/>
            <w:shd w:fill="1F364D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Correct DMCA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Gradual RMS rise from baseline toward failure threshold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Physical asset degradation (bearing failing)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9"/>
              </w:rPr>
              <w:t>Raise operational alarm; NO model swap (the model is doing its job); physical maintenance action by operator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Sharp RMS drop back to baseline after maintenance window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Asset replacement; new healthy bearing installed; context shifted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9"/>
              </w:rPr>
              <w:t>SWAP model (Stage 5); Stage 1 re-profile; Stage 2 re-select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RMS distribution shifts without crossing failure thresholds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Sensor recalibration, hardware upgrade, process change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9"/>
              </w:rPr>
              <w:t>SWAP model; no physical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RMS variance grows without mean shift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19"/>
              </w:rPr>
              <w:t>Sensor degradation; signal-side issue</w:t>
            </w:r>
          </w:p>
        </w:tc>
        <w:tc>
          <w:tcPr>
            <w:tcW w:type="dxa" w:w="4176"/>
          </w:tcPr>
          <w:p>
            <w:r/>
            <w:r>
              <w:rPr>
                <w:rFonts w:ascii="Arial" w:hAnsi="Arial"/>
                <w:sz w:val="19"/>
              </w:rPr>
              <w:t>NO_SWAP; alert sensor maintenance team</w:t>
            </w:r>
          </w:p>
        </w:tc>
      </w:tr>
    </w:tbl>
    <w:p>
      <w:r>
        <w:rPr>
          <w:rFonts w:ascii="Arial" w:hAnsi="Arial"/>
          <w:b w:val="0"/>
          <w:i/>
          <w:sz w:val="22"/>
        </w:rPr>
        <w:t>The refinement requires integrating a lifecycle-aware layer above the v3.1.1 classifier. Two implementation routes are open: (a) integration with external maintenance log to ground-truth replacement events; (b) heuristic discrimination based on temporal signature (gradual rise followed by abrupt drop = replacement event). The distributed AAS submodel infrastructure proposed by Belfadel is a natural substrate for tracking maintenance events as DT context signals.</w:t>
      </w:r>
    </w:p>
    <w:p>
      <w:pPr>
        <w:pStyle w:val="Heading2"/>
      </w:pPr>
      <w:r>
        <w:rPr>
          <w:rFonts w:ascii="Arial" w:hAnsi="Arial"/>
          <w:color w:val="1F364D"/>
        </w:rPr>
        <w:t>6.4 · IRT SystemX collaboration scope</w:t>
      </w:r>
    </w:p>
    <w:p>
      <w:r>
        <w:rPr>
          <w:rFonts w:ascii="Arial" w:hAnsi="Arial"/>
          <w:b w:val="0"/>
          <w:i w:val="0"/>
          <w:sz w:val="22"/>
        </w:rPr>
        <w:t>The Phase 2 lifecycle loop design above is led and executed by the lead author, continuing the methodological line of the thesis. The IRT SystemX collaboration scope is narrower and complementary: it is bounded to the Stage 1 distributed AAS infrastructure on which the loop operates.</w:t>
      </w:r>
    </w:p>
    <w:p>
      <w:r>
        <w:rPr>
          <w:rFonts w:ascii="Arial" w:hAnsi="Arial"/>
          <w:b/>
          <w:i w:val="0"/>
          <w:sz w:val="22"/>
        </w:rPr>
        <w:t>Concrete contributions from IRT SystemX: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Distributed AAS architecture (§6 of the manuscript): cloud/fog/edge node design, submodel schema for runtime status (latency, load, drift indicators), TOPSIS-as-DT-service interface specification. This generalizes Stage 1 from the static JSON Phase 1 (thesis) to the distributed dynamic infrastructure required for multi-node deployments. This is the substrate on which lifecycle events become AAS submodel updates and model swap becomes a DT service operation.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Standards positioning (§2.2): mapping of framework components against IEC 63278 CDV, ISO 23247, ISO/IEC 30173 — area where Belfadel has committee-member expertise (Belfadel et al. PLM 2024, XRTwin4Industry).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Optional, high-leverage if available: an industrial-fleet bearing telemetry channel through SystemX partner relationships (Valeo, Renault, Safran, Airbus). Would enable a Case Study C industrial validation of the lifecycle loop, substantially strengthening the manuscript for IJAMT acceptance. To be discussed without forcing.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Co-authorship credibility for IJAMT review: a SystemX AAS-standards co-author improves acceptance probability in standards-aligned venues.</w:t>
      </w:r>
    </w:p>
    <w:p>
      <w:r>
        <w:rPr>
          <w:rFonts w:ascii="Arial" w:hAnsi="Arial"/>
          <w:b w:val="0"/>
          <w:i/>
          <w:sz w:val="22"/>
        </w:rPr>
        <w:t>Out of scope for SystemX: the DMCA framework core (Stages 2–5), the drift classifier and its semantic refinement (§6.3), the lifecycle loop logic and orchestration, the missed-alarm simulation and experimental validation. These remain the lead author’s work, continuing the thesis methodological line.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64D"/>
        </w:rPr>
        <w:t>7 · Open questions to align with Belfadel (2026-06-26 call)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Confirm §6 distributed-AAS extension scope: cloud/fog/edge submodels, TOPSIS-as-DT-service, IEC 63278 CDV / ISO 23247 conformance positioning. Any additional standards angle to integrate?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Phase 2 lifecycle loop (Section 6 of this document): is the scope realistic for the joint paper? Should the §6.3 drift-typology semantic refinement be a separate publication or integrated?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Industrial Case Study C: does IRT SystemX have a partner channel for real industrial bearing data (Valeo, Renault, Safran)? Even non-production telemetry on a limited time window would substantially strengthen the manuscript.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Framework programme: under which SystemX programme is the collaboration inquadrato (Confiance.ai legacy, European Trustworthy AI Association, internal initiative)? Implications on publication openness, IP framework, and France 2030 obligations.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Timeline alignment: any constraints from SystemX side on submission window or interim milestones to be aware of?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IP framework: SystemX standard template for external academic collaboration? Will be brought to TTO Polito (RIMIN / Area TRIN) for review before any binding commitment.</w:t>
      </w:r>
    </w:p>
    <w:p>
      <w:pPr>
        <w:pStyle w:val="Heading1"/>
      </w:pPr>
      <w:r>
        <w:rPr>
          <w:rFonts w:ascii="Arial" w:hAnsi="Arial"/>
          <w:color w:val="1F364D"/>
        </w:rPr>
        <w:t>8 · Selected references (manufacturing PM stream added vs thesis)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Nectoux et al. 2012 — PRONOSTIA: An Experimental Platform for Bearings Accelerated Degradation Tests, IEEE PHM Challenge 2012.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Lee, Qiu, Yu, Lin 2007 — IMS Bearings Dataset, NASA Prognostics Data Repository.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ISO 10816-3:2009 / ISO 20816-3:2022 — Vibration severity standard for machine evaluation.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IEC 61508 / IEC 62061 — Safety Integrity Level (SIL) framework.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ISA-18.2 — Management of Alarm Systems for the Process Industries.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Lee, Lapira, Bagheri, Kao 2013 — Recent advances in predictive manufacturing systems, Manufacturing Letters.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Randall, Antoni 2011 — Rolling element bearing diagnostics — a tutorial, Mechanical Systems and Signal Processing.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Belfadel, Creff, Ben Hamida 2025 — Advancing Industrial Digital Twins Toward an Open Platform Aligned with Standards, IFIP AICT vol. 741.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Senseye / Siemens 2024 — True Cost of Downtime report.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Bifet &amp; Gavalda 2007 — Learning from Time-Changing Data with Adaptive Windowing (ADWIN), SIAM Conference on Data Mining (reused from thesis).</w:t>
      </w:r>
    </w:p>
    <w:p>
      <w:pPr>
        <w:pStyle w:val="Heading1"/>
      </w:pPr>
      <w:r>
        <w:rPr>
          <w:rFonts w:ascii="Arial" w:hAnsi="Arial"/>
          <w:color w:val="1F364D"/>
        </w:rPr>
        <w:t>9 · Status of this document and next steps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v0.3 reflects today experimental validation on PRONOSTIA + IMS (real data) and the new Phase 2 lifecycle loop design.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Stage 2 validation: complete. Real numbers available, two killer figures produced (Bearing 3_2 safety-critical flip; IMS Bearing 1 industrial timing).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Phase 2 full loop: design specified, implementation owned by lead author; primary novel methodological contribution proposed for the joint paper.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Drift typology semantic refinement (6.3): identified as key novelty, owned by lead author; open for Belfadel input on AAS-substrate integration.</w:t>
      </w:r>
    </w:p>
    <w:p>
      <w:pPr>
        <w:pStyle w:val="ListBullet"/>
        <w:ind w:left="360"/>
      </w:pPr>
      <w:r>
        <w:rPr>
          <w:rFonts w:ascii="Arial" w:hAnsi="Arial"/>
          <w:sz w:val="22"/>
        </w:rPr>
        <w:t>IRT SystemX call 2026-06-26 will confirm distributed AAS scope and Section 6 author allocation to Belfadel; v0.4 will incorporate post-call decisions.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