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4E78"/>
          <w:sz w:val="28"/>
          <w:szCs w:val="28"/>
        </w:rPr>
        <w:t xml:space="preserve">PCUBE SOLUTION</w:t>
      </w:r>
    </w:p>
    <w:p>
      <w:pPr>
        <w:spacing w:after="200"/>
        <w:jc w:val="center"/>
      </w:pPr>
      <w:r>
        <w:rPr>
          <w:rFonts w:ascii="Calibri" w:cs="Calibri" w:eastAsia="Calibri" w:hAnsi="Calibri"/>
          <w:color w:val="595959"/>
          <w:sz w:val="22"/>
          <w:szCs w:val="22"/>
        </w:rPr>
        <w:t xml:space="preserve">AI Reputation Management</w:t>
      </w:r>
    </w:p>
    <w:p>
      <w:pPr>
        <w:spacing w:after="240"/>
        <w:jc w:val="center"/>
      </w:pPr>
      <w:r>
        <w:rPr>
          <w:rFonts w:ascii="Calibri" w:cs="Calibri" w:eastAsia="Calibri" w:hAnsi="Calibri"/>
          <w:color w:val="595959"/>
          <w:sz w:val="20"/>
          <w:szCs w:val="20"/>
        </w:rPr>
        <w:t xml:space="preserve">Sector 63, Noida, Uttar Pradesh – 201301 | info@pcubesolution.com | www.pcubesolution.com</w:t>
      </w:r>
    </w:p>
    <w:p>
      <w:pPr>
        <w:pBdr>
          <w:bottom w:val="single" w:color="1F4E78" w:sz="12" w:space="1"/>
        </w:pBdr>
        <w:spacing w:after="240"/>
      </w:pPr>
    </w:p>
    <w:p>
      <w:pPr>
        <w:shd w:fill="1F4E78" w:val="clear"/>
        <w:spacing w:after="80"/>
        <w:jc w:val="center"/>
      </w:pPr>
      <w:r>
        <w:rPr>
          <w:rFonts w:ascii="Calibri" w:cs="Calibri" w:eastAsia="Calibri" w:hAnsi="Calibri"/>
          <w:b/>
          <w:bCs/>
          <w:color w:val="FFFFFF"/>
          <w:sz w:val="28"/>
          <w:szCs w:val="28"/>
        </w:rPr>
        <w:t xml:space="preserve">INTERNSHIP + FULL-TIME OFFER LETTER</w:t>
      </w:r>
    </w:p>
    <w:p>
      <w:pPr>
        <w:shd w:fill="00B0F0" w:val="clear"/>
        <w:spacing w:after="240"/>
        <w:jc w:val="center"/>
      </w:pPr>
      <w:r>
        <w:rPr>
          <w:rFonts w:ascii="Calibri" w:cs="Calibri" w:eastAsia="Calibri" w:hAnsi="Calibri"/>
          <w:b/>
          <w:bCs/>
          <w:color w:val="FFFFFF"/>
          <w:sz w:val="24"/>
          <w:szCs w:val="24"/>
        </w:rPr>
        <w:t xml:space="preserve">Business Development Executive (BDE) | Pcube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0"/>
              <w:left w:type="dxa" w:w="0"/>
              <w:bottom w:type="dxa" w:w="0"/>
              <w:right w:type="dxa" w:w="0"/>
            </w:tcMar>
          </w:tcPr>
          <w:p>
            <w:r>
              <w:rPr>
                <w:rFonts w:ascii="Calibri" w:cs="Calibri" w:eastAsia="Calibri" w:hAnsi="Calibri"/>
                <w:b/>
                <w:bCs/>
                <w:sz w:val="22"/>
                <w:szCs w:val="22"/>
              </w:rPr>
              <w:t xml:space="preserve">Date: </w:t>
            </w:r>
            <w:r>
              <w:rPr>
                <w:rFonts w:ascii="Calibri" w:cs="Calibri" w:eastAsia="Calibri" w:hAnsi="Calibri"/>
                <w:sz w:val="22"/>
                <w:szCs w:val="22"/>
              </w:rPr>
              <w:t xml:space="preserve">20/04/2026</w:t>
            </w:r>
          </w:p>
        </w:tc>
        <w:tc>
          <w:tcPr>
            <w:tcW w:type="dxa" w:w="4680"/>
            <w:tcBorders>
              <w:top w:val="none"/>
              <w:left w:val="none"/>
              <w:bottom w:val="none"/>
              <w:right w:val="none"/>
            </w:tcBorders>
            <w:tcMar>
              <w:top w:type="dxa" w:w="0"/>
              <w:left w:type="dxa" w:w="0"/>
              <w:bottom w:type="dxa" w:w="0"/>
              <w:right w:type="dxa" w:w="0"/>
            </w:tcMar>
          </w:tcPr>
          <w:p>
            <w:pPr>
              <w:jc w:val="right"/>
            </w:pPr>
            <w:r>
              <w:rPr>
                <w:rFonts w:ascii="Calibri" w:cs="Calibri" w:eastAsia="Calibri" w:hAnsi="Calibri"/>
                <w:b/>
                <w:bCs/>
                <w:sz w:val="22"/>
                <w:szCs w:val="22"/>
              </w:rPr>
              <w:t xml:space="preserve">Ref No: </w:t>
            </w:r>
            <w:r>
              <w:rPr>
                <w:rFonts w:ascii="Calibri" w:cs="Calibri" w:eastAsia="Calibri" w:hAnsi="Calibri"/>
                <w:sz w:val="22"/>
                <w:szCs w:val="22"/>
              </w:rPr>
              <w:t xml:space="preserve">PSL/HR/BDE/2026/200401</w:t>
            </w:r>
          </w:p>
        </w:tc>
      </w:tr>
    </w:tbl>
    <w:p>
      <w:pPr>
        <w:spacing w:after="240"/>
      </w:pPr>
    </w:p>
    <w:p>
      <w:pPr>
        <w:spacing w:after="80"/>
      </w:pPr>
      <w:r>
        <w:rPr>
          <w:rFonts w:ascii="Calibri" w:cs="Calibri" w:eastAsia="Calibri" w:hAnsi="Calibri"/>
          <w:b/>
          <w:bCs/>
          <w:sz w:val="22"/>
          <w:szCs w:val="22"/>
        </w:rPr>
        <w:t xml:space="preserve">To,</w:t>
      </w:r>
    </w:p>
    <w:p>
      <w:pPr>
        <w:spacing w:after="40"/>
      </w:pPr>
      <w:r>
        <w:rPr>
          <w:rFonts w:ascii="Calibri" w:cs="Calibri" w:eastAsia="Calibri" w:hAnsi="Calibri"/>
          <w:b/>
          <w:bCs/>
          <w:sz w:val="22"/>
          <w:szCs w:val="22"/>
        </w:rPr>
        <w:t xml:space="preserve">Gautam Kumar Meena</w:t>
      </w:r>
    </w:p>
    <w:p>
      <w:pPr>
        <w:spacing w:after="40"/>
      </w:pPr>
      <w:r>
        <w:rPr>
          <w:rFonts w:ascii="Calibri" w:cs="Calibri" w:eastAsia="Calibri" w:hAnsi="Calibri"/>
          <w:sz w:val="22"/>
          <w:szCs w:val="22"/>
        </w:rPr>
        <w:t xml:space="preserve">Email: 2022uch1543@mnit.ac.in</w:t>
      </w:r>
    </w:p>
    <w:p>
      <w:pPr>
        <w:spacing w:after="240"/>
      </w:pPr>
      <w:r>
        <w:rPr>
          <w:rFonts w:ascii="Calibri" w:cs="Calibri" w:eastAsia="Calibri" w:hAnsi="Calibri"/>
          <w:sz w:val="22"/>
          <w:szCs w:val="22"/>
        </w:rPr>
        <w:t xml:space="preserve">College: MNIT Jaipur</w:t>
      </w:r>
    </w:p>
    <w:p>
      <w:pPr>
        <w:spacing w:after="240"/>
      </w:pPr>
      <w:r>
        <w:rPr>
          <w:rFonts w:ascii="Calibri" w:cs="Calibri" w:eastAsia="Calibri" w:hAnsi="Calibri"/>
          <w:b/>
          <w:bCs/>
          <w:color w:val="1F4E78"/>
          <w:sz w:val="22"/>
          <w:szCs w:val="22"/>
        </w:rPr>
        <w:t xml:space="preserve">Subject: Offer of Internship and Pre-Placement for Business Development Executive (BDE)</w:t>
      </w:r>
    </w:p>
    <w:p>
      <w:pPr>
        <w:spacing w:after="120"/>
      </w:pPr>
      <w:r>
        <w:rPr>
          <w:rFonts w:ascii="Calibri" w:cs="Calibri" w:eastAsia="Calibri" w:hAnsi="Calibri"/>
          <w:b/>
          <w:bCs/>
          <w:sz w:val="22"/>
          <w:szCs w:val="22"/>
        </w:rPr>
        <w:t xml:space="preserve">Dear Gautam,</w:t>
      </w:r>
    </w:p>
    <w:p>
      <w:pPr>
        <w:spacing w:after="240"/>
        <w:jc w:val="both"/>
      </w:pPr>
      <w:r>
        <w:rPr>
          <w:rFonts w:ascii="Calibri" w:cs="Calibri" w:eastAsia="Calibri" w:hAnsi="Calibri"/>
          <w:sz w:val="22"/>
          <w:szCs w:val="22"/>
        </w:rPr>
        <w:t xml:space="preserve">We are delighted to extend this offer to you for the position of Business Development Executive (BDE) – Intern at Pcube Solution (www.pcubesolution.com). After a careful evaluation of your profile, we believe you have the potential to contribute meaningfully to our AI platform and our growing client success team. This offer is structured as an Internship with a pathway to Full-Time Employment (FTE) based on your performance.</w:t>
      </w:r>
    </w:p>
    <w:p>
      <w:pPr>
        <w:pStyle w:val="Heading1"/>
        <w:spacing w:after="120"/>
      </w:pPr>
      <w:r>
        <w:t xml:space="preserve">1. TRAINING PERIOD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1F4E78" w:sz="6"/>
              <w:left w:val="single" w:color="1F4E78" w:sz="6"/>
              <w:bottom w:val="single" w:color="1F4E78" w:sz="6"/>
              <w:right w:val="single" w:color="1F4E78" w:sz="6"/>
            </w:tcBorders>
            <w:shd w:fill="1F4E78" w:val="clear"/>
            <w:tcMar>
              <w:top w:type="dxa" w:w="80"/>
              <w:left w:type="dxa" w:w="120"/>
              <w:bottom w:type="dxa" w:w="80"/>
              <w:right w:type="dxa" w:w="120"/>
            </w:tcMar>
          </w:tcPr>
          <w:p>
            <w:r>
              <w:rPr>
                <w:rFonts w:ascii="Calibri" w:cs="Calibri" w:eastAsia="Calibri" w:hAnsi="Calibri"/>
                <w:b/>
                <w:bCs/>
                <w:color w:val="FFFFFF"/>
                <w:sz w:val="22"/>
                <w:szCs w:val="22"/>
              </w:rPr>
              <w:t xml:space="preserve">Training Duration</w:t>
            </w:r>
          </w:p>
        </w:tc>
        <w:tc>
          <w:tcPr>
            <w:tcW w:type="dxa" w:w="6552"/>
            <w:tcBorders>
              <w:top w:val="single" w:color="1F4E78" w:sz="6"/>
              <w:left w:val="single" w:color="1F4E78" w:sz="6"/>
              <w:bottom w:val="single" w:color="1F4E78" w:sz="6"/>
              <w:right w:val="single" w:color="1F4E78" w:sz="6"/>
            </w:tcBorders>
            <w:shd w:fill="1F4E78" w:val="clear"/>
            <w:tcMar>
              <w:top w:type="dxa" w:w="80"/>
              <w:left w:type="dxa" w:w="120"/>
              <w:bottom w:type="dxa" w:w="80"/>
              <w:right w:type="dxa" w:w="120"/>
            </w:tcMar>
          </w:tcPr>
          <w:p>
            <w:r>
              <w:rPr>
                <w:rFonts w:ascii="Calibri" w:cs="Calibri" w:eastAsia="Calibri" w:hAnsi="Calibri"/>
                <w:b/>
                <w:bCs/>
                <w:color w:val="FFFFFF"/>
                <w:sz w:val="22"/>
                <w:szCs w:val="22"/>
              </w:rPr>
              <w:t xml:space="preserve">7 (Seven) Calendar Days</w:t>
            </w:r>
          </w:p>
        </w:tc>
      </w:tr>
      <w:tr>
        <w:tc>
          <w:tcPr>
            <w:tcW w:type="dxa" w:w="2808"/>
            <w:tcBorders>
              <w:top w:val="single" w:color="1F4E78" w:sz="6"/>
              <w:left w:val="single" w:color="1F4E78" w:sz="6"/>
              <w:bottom w:val="single" w:color="1F4E78" w:sz="6"/>
              <w:right w:val="single" w:color="1F4E78" w:sz="6"/>
            </w:tcBorders>
            <w:tcMar>
              <w:top w:type="dxa" w:w="80"/>
              <w:left w:type="dxa" w:w="120"/>
              <w:bottom w:type="dxa" w:w="80"/>
              <w:right w:type="dxa" w:w="120"/>
            </w:tcMar>
          </w:tcPr>
          <w:p>
            <w:r>
              <w:rPr>
                <w:rFonts w:ascii="Calibri" w:cs="Calibri" w:eastAsia="Calibri" w:hAnsi="Calibri"/>
                <w:b/>
                <w:bCs/>
                <w:sz w:val="22"/>
                <w:szCs w:val="22"/>
              </w:rPr>
              <w:t xml:space="preserve">Training Start Date</w:t>
            </w:r>
          </w:p>
        </w:tc>
        <w:tc>
          <w:tcPr>
            <w:tcW w:type="dxa" w:w="6552"/>
            <w:tcBorders>
              <w:top w:val="single" w:color="1F4E78" w:sz="6"/>
              <w:left w:val="single" w:color="1F4E78" w:sz="6"/>
              <w:bottom w:val="single" w:color="1F4E78" w:sz="6"/>
              <w:right w:val="single" w:color="1F4E78" w:sz="6"/>
            </w:tcBorders>
            <w:tcMar>
              <w:top w:type="dxa" w:w="80"/>
              <w:left w:type="dxa" w:w="120"/>
              <w:bottom w:type="dxa" w:w="80"/>
              <w:right w:type="dxa" w:w="120"/>
            </w:tcMar>
          </w:tcPr>
          <w:p>
            <w:r>
              <w:rPr>
                <w:rFonts w:ascii="Calibri" w:cs="Calibri" w:eastAsia="Calibri" w:hAnsi="Calibri"/>
                <w:sz w:val="22"/>
                <w:szCs w:val="22"/>
              </w:rPr>
              <w:t xml:space="preserve">22 May 2026</w:t>
            </w:r>
          </w:p>
        </w:tc>
      </w:tr>
      <w:tr>
        <w:tc>
          <w:tcPr>
            <w:tcW w:type="dxa" w:w="2808"/>
            <w:tcBorders>
              <w:top w:val="single" w:color="1F4E78" w:sz="6"/>
              <w:left w:val="single" w:color="1F4E78" w:sz="6"/>
              <w:bottom w:val="single" w:color="1F4E78" w:sz="6"/>
              <w:right w:val="single" w:color="1F4E78" w:sz="6"/>
            </w:tcBorders>
            <w:shd w:fill="D9E8F5" w:val="clear"/>
            <w:tcMar>
              <w:top w:type="dxa" w:w="80"/>
              <w:left w:type="dxa" w:w="120"/>
              <w:bottom w:type="dxa" w:w="80"/>
              <w:right w:type="dxa" w:w="120"/>
            </w:tcMar>
          </w:tcPr>
          <w:p>
            <w:r>
              <w:rPr>
                <w:rFonts w:ascii="Calibri" w:cs="Calibri" w:eastAsia="Calibri" w:hAnsi="Calibri"/>
                <w:b/>
                <w:bCs/>
                <w:sz w:val="22"/>
                <w:szCs w:val="22"/>
              </w:rPr>
              <w:t xml:space="preserve">Nature of Training</w:t>
            </w:r>
          </w:p>
        </w:tc>
        <w:tc>
          <w:tcPr>
            <w:tcW w:type="dxa" w:w="6552"/>
            <w:tcBorders>
              <w:top w:val="single" w:color="1F4E78" w:sz="6"/>
              <w:left w:val="single" w:color="1F4E78" w:sz="6"/>
              <w:bottom w:val="single" w:color="1F4E78" w:sz="6"/>
              <w:right w:val="single" w:color="1F4E78" w:sz="6"/>
            </w:tcBorders>
            <w:shd w:fill="D9E8F5" w:val="clear"/>
            <w:tcMar>
              <w:top w:type="dxa" w:w="80"/>
              <w:left w:type="dxa" w:w="120"/>
              <w:bottom w:type="dxa" w:w="80"/>
              <w:right w:type="dxa" w:w="120"/>
            </w:tcMar>
          </w:tcPr>
          <w:p>
            <w:r>
              <w:rPr>
                <w:rFonts w:ascii="Calibri" w:cs="Calibri" w:eastAsia="Calibri" w:hAnsi="Calibri"/>
                <w:sz w:val="22"/>
                <w:szCs w:val="22"/>
              </w:rPr>
              <w:t xml:space="preserve">Unpaid — Evaluation &amp; Role Fit Assessment</w:t>
            </w:r>
          </w:p>
        </w:tc>
      </w:tr>
      <w:tr>
        <w:tc>
          <w:tcPr>
            <w:tcW w:type="dxa" w:w="2808"/>
            <w:tcBorders>
              <w:top w:val="single" w:color="1F4E78" w:sz="6"/>
              <w:left w:val="single" w:color="1F4E78" w:sz="6"/>
              <w:bottom w:val="single" w:color="1F4E78" w:sz="6"/>
              <w:right w:val="single" w:color="1F4E78" w:sz="6"/>
            </w:tcBorders>
            <w:tcMar>
              <w:top w:type="dxa" w:w="80"/>
              <w:left w:type="dxa" w:w="120"/>
              <w:bottom w:type="dxa" w:w="80"/>
              <w:right w:type="dxa" w:w="120"/>
            </w:tcMar>
          </w:tcPr>
          <w:p>
            <w:r>
              <w:rPr>
                <w:rFonts w:ascii="Calibri" w:cs="Calibri" w:eastAsia="Calibri" w:hAnsi="Calibri"/>
                <w:b/>
                <w:bCs/>
                <w:sz w:val="22"/>
                <w:szCs w:val="22"/>
              </w:rPr>
              <w:t xml:space="preserve">Focus Areas</w:t>
            </w:r>
          </w:p>
        </w:tc>
        <w:tc>
          <w:tcPr>
            <w:tcW w:type="dxa" w:w="6552"/>
            <w:tcBorders>
              <w:top w:val="single" w:color="1F4E78" w:sz="6"/>
              <w:left w:val="single" w:color="1F4E78" w:sz="6"/>
              <w:bottom w:val="single" w:color="1F4E78" w:sz="6"/>
              <w:right w:val="single" w:color="1F4E78" w:sz="6"/>
            </w:tcBorders>
            <w:tcMar>
              <w:top w:type="dxa" w:w="80"/>
              <w:left w:type="dxa" w:w="120"/>
              <w:bottom w:type="dxa" w:w="80"/>
              <w:right w:type="dxa" w:w="120"/>
            </w:tcMar>
          </w:tcPr>
          <w:p>
            <w:r>
              <w:rPr>
                <w:rFonts w:ascii="Calibri" w:cs="Calibri" w:eastAsia="Calibri" w:hAnsi="Calibri"/>
                <w:sz w:val="22"/>
                <w:szCs w:val="22"/>
              </w:rPr>
              <w:t xml:space="preserve">Communication, Sales Aptitude, Product Understanding</w:t>
            </w:r>
          </w:p>
        </w:tc>
      </w:tr>
    </w:tbl>
    <w:p>
      <w:pPr>
        <w:pBdr>
          <w:bottom w:val="single" w:color="C00000" w:sz="6" w:space="1"/>
        </w:pBdr>
        <w:spacing w:after="240"/>
      </w:pPr>
      <w:r>
        <w:rPr>
          <w:rFonts w:ascii="Calibri" w:cs="Calibri" w:eastAsia="Calibri" w:hAnsi="Calibri"/>
          <w:b/>
          <w:bCs/>
          <w:color w:val="C00000"/>
          <w:sz w:val="22"/>
          <w:szCs w:val="22"/>
        </w:rPr>
        <w:t xml:space="preserve">Important: Only candidates who successfully clear the 7-day training evaluation will be advanced to the Internship phase. The company reserves the sole right to determine the outcome of training.</w:t>
      </w:r>
    </w:p>
    <w:p>
      <w:pPr>
        <w:pStyle w:val="Heading1"/>
        <w:spacing w:after="120"/>
      </w:pPr>
      <w:r>
        <w:t xml:space="preserve">2. INTERNSHIP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1F4E78" w:sz="6"/>
              <w:left w:val="single" w:color="1F4E78" w:sz="6"/>
              <w:bottom w:val="single" w:color="1F4E78" w:sz="6"/>
              <w:right w:val="single" w:color="1F4E78" w:sz="6"/>
            </w:tcBorders>
            <w:shd w:fill="1F4E78" w:val="clear"/>
            <w:tcMar>
              <w:top w:type="dxa" w:w="80"/>
              <w:left w:type="dxa" w:w="120"/>
              <w:bottom w:type="dxa" w:w="80"/>
              <w:right w:type="dxa" w:w="120"/>
            </w:tcMar>
          </w:tcPr>
          <w:p>
            <w:r>
              <w:rPr>
                <w:rFonts w:ascii="Calibri" w:cs="Calibri" w:eastAsia="Calibri" w:hAnsi="Calibri"/>
                <w:b/>
                <w:bCs/>
                <w:color w:val="FFFFFF"/>
                <w:sz w:val="22"/>
                <w:szCs w:val="22"/>
              </w:rPr>
              <w:t xml:space="preserve">Position</w:t>
            </w:r>
          </w:p>
        </w:tc>
        <w:tc>
          <w:tcPr>
            <w:tcW w:type="dxa" w:w="6552"/>
            <w:tcBorders>
              <w:top w:val="single" w:color="1F4E78" w:sz="6"/>
              <w:left w:val="single" w:color="1F4E78" w:sz="6"/>
              <w:bottom w:val="single" w:color="1F4E78" w:sz="6"/>
              <w:right w:val="single" w:color="1F4E78" w:sz="6"/>
            </w:tcBorders>
            <w:shd w:fill="1F4E78" w:val="clear"/>
            <w:tcMar>
              <w:top w:type="dxa" w:w="80"/>
              <w:left w:type="dxa" w:w="120"/>
              <w:bottom w:type="dxa" w:w="80"/>
              <w:right w:type="dxa" w:w="120"/>
            </w:tcMar>
          </w:tcPr>
          <w:p>
            <w:r>
              <w:rPr>
                <w:rFonts w:ascii="Calibri" w:cs="Calibri" w:eastAsia="Calibri" w:hAnsi="Calibri"/>
                <w:b/>
                <w:bCs/>
                <w:color w:val="FFFFFF"/>
                <w:sz w:val="22"/>
                <w:szCs w:val="22"/>
              </w:rPr>
              <w:t xml:space="preserve">Business Development Executive (Intern)</w:t>
            </w:r>
          </w:p>
        </w:tc>
      </w:tr>
      <w:tr>
        <w:tc>
          <w:tcPr>
            <w:tcW w:type="dxa" w:w="2808"/>
            <w:tcBorders>
              <w:top w:val="single" w:color="1F4E78" w:sz="6"/>
              <w:left w:val="single" w:color="1F4E78" w:sz="6"/>
              <w:bottom w:val="single" w:color="1F4E78" w:sz="6"/>
              <w:right w:val="single" w:color="1F4E78" w:sz="6"/>
            </w:tcBorders>
            <w:tcMar>
              <w:top w:type="dxa" w:w="80"/>
              <w:left w:type="dxa" w:w="120"/>
              <w:bottom w:type="dxa" w:w="80"/>
              <w:right w:type="dxa" w:w="120"/>
            </w:tcMar>
          </w:tcPr>
          <w:p>
            <w:r>
              <w:rPr>
                <w:rFonts w:ascii="Calibri" w:cs="Calibri" w:eastAsia="Calibri" w:hAnsi="Calibri"/>
                <w:b/>
                <w:bCs/>
                <w:sz w:val="22"/>
                <w:szCs w:val="22"/>
              </w:rPr>
              <w:t xml:space="preserve">Internship Start Date</w:t>
            </w:r>
          </w:p>
        </w:tc>
        <w:tc>
          <w:tcPr>
            <w:tcW w:type="dxa" w:w="6552"/>
            <w:tcBorders>
              <w:top w:val="single" w:color="1F4E78" w:sz="6"/>
              <w:left w:val="single" w:color="1F4E78" w:sz="6"/>
              <w:bottom w:val="single" w:color="1F4E78" w:sz="6"/>
              <w:right w:val="single" w:color="1F4E78" w:sz="6"/>
            </w:tcBorders>
            <w:tcMar>
              <w:top w:type="dxa" w:w="80"/>
              <w:left w:type="dxa" w:w="120"/>
              <w:bottom w:type="dxa" w:w="80"/>
              <w:right w:type="dxa" w:w="120"/>
            </w:tcMar>
          </w:tcPr>
          <w:p>
            <w:r>
              <w:rPr>
                <w:rFonts w:ascii="Calibri" w:cs="Calibri" w:eastAsia="Calibri" w:hAnsi="Calibri"/>
                <w:sz w:val="22"/>
                <w:szCs w:val="22"/>
              </w:rPr>
              <w:t xml:space="preserve">1 June 2026</w:t>
            </w:r>
          </w:p>
        </w:tc>
      </w:tr>
      <w:tr>
        <w:tc>
          <w:tcPr>
            <w:tcW w:type="dxa" w:w="2808"/>
            <w:tcBorders>
              <w:top w:val="single" w:color="1F4E78" w:sz="6"/>
              <w:left w:val="single" w:color="1F4E78" w:sz="6"/>
              <w:bottom w:val="single" w:color="1F4E78" w:sz="6"/>
              <w:right w:val="single" w:color="1F4E78" w:sz="6"/>
            </w:tcBorders>
            <w:shd w:fill="D9E8F5" w:val="clear"/>
            <w:tcMar>
              <w:top w:type="dxa" w:w="80"/>
              <w:left w:type="dxa" w:w="120"/>
              <w:bottom w:type="dxa" w:w="80"/>
              <w:right w:type="dxa" w:w="120"/>
            </w:tcMar>
          </w:tcPr>
          <w:p>
            <w:r>
              <w:rPr>
                <w:rFonts w:ascii="Calibri" w:cs="Calibri" w:eastAsia="Calibri" w:hAnsi="Calibri"/>
                <w:b/>
                <w:bCs/>
                <w:sz w:val="22"/>
                <w:szCs w:val="22"/>
              </w:rPr>
              <w:t xml:space="preserve">Duration</w:t>
            </w:r>
          </w:p>
        </w:tc>
        <w:tc>
          <w:tcPr>
            <w:tcW w:type="dxa" w:w="6552"/>
            <w:tcBorders>
              <w:top w:val="single" w:color="1F4E78" w:sz="6"/>
              <w:left w:val="single" w:color="1F4E78" w:sz="6"/>
              <w:bottom w:val="single" w:color="1F4E78" w:sz="6"/>
              <w:right w:val="single" w:color="1F4E78" w:sz="6"/>
            </w:tcBorders>
            <w:shd w:fill="D9E8F5" w:val="clear"/>
            <w:tcMar>
              <w:top w:type="dxa" w:w="80"/>
              <w:left w:type="dxa" w:w="120"/>
              <w:bottom w:type="dxa" w:w="80"/>
              <w:right w:type="dxa" w:w="120"/>
            </w:tcMar>
          </w:tcPr>
          <w:p>
            <w:r>
              <w:rPr>
                <w:rFonts w:ascii="Calibri" w:cs="Calibri" w:eastAsia="Calibri" w:hAnsi="Calibri"/>
                <w:sz w:val="22"/>
                <w:szCs w:val="22"/>
              </w:rPr>
              <w:t xml:space="preserve">6 (Six) Months</w:t>
            </w:r>
          </w:p>
        </w:tc>
      </w:tr>
      <w:tr>
        <w:tc>
          <w:tcPr>
            <w:tcW w:type="dxa" w:w="2808"/>
            <w:tcBorders>
              <w:top w:val="single" w:color="1F4E78" w:sz="6"/>
              <w:left w:val="single" w:color="1F4E78" w:sz="6"/>
              <w:bottom w:val="single" w:color="1F4E78" w:sz="6"/>
              <w:right w:val="single" w:color="1F4E78" w:sz="6"/>
            </w:tcBorders>
            <w:tcMar>
              <w:top w:type="dxa" w:w="80"/>
              <w:left w:type="dxa" w:w="120"/>
              <w:bottom w:type="dxa" w:w="80"/>
              <w:right w:type="dxa" w:w="120"/>
            </w:tcMar>
          </w:tcPr>
          <w:p>
            <w:r>
              <w:rPr>
                <w:rFonts w:ascii="Calibri" w:cs="Calibri" w:eastAsia="Calibri" w:hAnsi="Calibri"/>
                <w:b/>
                <w:bCs/>
                <w:sz w:val="22"/>
                <w:szCs w:val="22"/>
              </w:rPr>
              <w:t xml:space="preserve">Work Mode</w:t>
            </w:r>
          </w:p>
        </w:tc>
        <w:tc>
          <w:tcPr>
            <w:tcW w:type="dxa" w:w="6552"/>
            <w:tcBorders>
              <w:top w:val="single" w:color="1F4E78" w:sz="6"/>
              <w:left w:val="single" w:color="1F4E78" w:sz="6"/>
              <w:bottom w:val="single" w:color="1F4E78" w:sz="6"/>
              <w:right w:val="single" w:color="1F4E78" w:sz="6"/>
            </w:tcBorders>
            <w:tcMar>
              <w:top w:type="dxa" w:w="80"/>
              <w:left w:type="dxa" w:w="120"/>
              <w:bottom w:type="dxa" w:w="80"/>
              <w:right w:type="dxa" w:w="120"/>
            </w:tcMar>
          </w:tcPr>
          <w:p>
            <w:r>
              <w:rPr>
                <w:rFonts w:ascii="Calibri" w:cs="Calibri" w:eastAsia="Calibri" w:hAnsi="Calibri"/>
                <w:sz w:val="22"/>
                <w:szCs w:val="22"/>
              </w:rPr>
              <w:t xml:space="preserve">On-site</w:t>
            </w:r>
          </w:p>
        </w:tc>
      </w:tr>
      <w:tr>
        <w:tc>
          <w:tcPr>
            <w:tcW w:type="dxa" w:w="2808"/>
            <w:tcBorders>
              <w:top w:val="single" w:color="1F4E78" w:sz="6"/>
              <w:left w:val="single" w:color="1F4E78" w:sz="6"/>
              <w:bottom w:val="single" w:color="1F4E78" w:sz="6"/>
              <w:right w:val="single" w:color="1F4E78" w:sz="6"/>
            </w:tcBorders>
            <w:shd w:fill="D9E8F5" w:val="clear"/>
            <w:tcMar>
              <w:top w:type="dxa" w:w="80"/>
              <w:left w:type="dxa" w:w="120"/>
              <w:bottom w:type="dxa" w:w="80"/>
              <w:right w:type="dxa" w:w="120"/>
            </w:tcMar>
          </w:tcPr>
          <w:p>
            <w:r>
              <w:rPr>
                <w:rFonts w:ascii="Calibri" w:cs="Calibri" w:eastAsia="Calibri" w:hAnsi="Calibri"/>
                <w:b/>
                <w:bCs/>
                <w:sz w:val="22"/>
                <w:szCs w:val="22"/>
              </w:rPr>
              <w:t xml:space="preserve">Working Days</w:t>
            </w:r>
          </w:p>
        </w:tc>
        <w:tc>
          <w:tcPr>
            <w:tcW w:type="dxa" w:w="6552"/>
            <w:tcBorders>
              <w:top w:val="single" w:color="1F4E78" w:sz="6"/>
              <w:left w:val="single" w:color="1F4E78" w:sz="6"/>
              <w:bottom w:val="single" w:color="1F4E78" w:sz="6"/>
              <w:right w:val="single" w:color="1F4E78" w:sz="6"/>
            </w:tcBorders>
            <w:shd w:fill="D9E8F5" w:val="clear"/>
            <w:tcMar>
              <w:top w:type="dxa" w:w="80"/>
              <w:left w:type="dxa" w:w="120"/>
              <w:bottom w:type="dxa" w:w="80"/>
              <w:right w:type="dxa" w:w="120"/>
            </w:tcMar>
          </w:tcPr>
          <w:p>
            <w:r>
              <w:rPr>
                <w:rFonts w:ascii="Calibri" w:cs="Calibri" w:eastAsia="Calibri" w:hAnsi="Calibri"/>
                <w:sz w:val="22"/>
                <w:szCs w:val="22"/>
              </w:rPr>
              <w:t xml:space="preserve">Monday to Saturday</w:t>
            </w:r>
          </w:p>
        </w:tc>
      </w:tr>
      <w:tr>
        <w:tc>
          <w:tcPr>
            <w:tcW w:type="dxa" w:w="2808"/>
            <w:tcBorders>
              <w:top w:val="single" w:color="1F4E78" w:sz="6"/>
              <w:left w:val="single" w:color="1F4E78" w:sz="6"/>
              <w:bottom w:val="single" w:color="1F4E78" w:sz="6"/>
              <w:right w:val="single" w:color="1F4E78" w:sz="6"/>
            </w:tcBorders>
            <w:tcMar>
              <w:top w:type="dxa" w:w="80"/>
              <w:left w:type="dxa" w:w="120"/>
              <w:bottom w:type="dxa" w:w="80"/>
              <w:right w:type="dxa" w:w="120"/>
            </w:tcMar>
          </w:tcPr>
          <w:p>
            <w:r>
              <w:rPr>
                <w:rFonts w:ascii="Calibri" w:cs="Calibri" w:eastAsia="Calibri" w:hAnsi="Calibri"/>
                <w:b/>
                <w:bCs/>
                <w:sz w:val="22"/>
                <w:szCs w:val="22"/>
              </w:rPr>
              <w:t xml:space="preserve">Working Hours</w:t>
            </w:r>
          </w:p>
        </w:tc>
        <w:tc>
          <w:tcPr>
            <w:tcW w:type="dxa" w:w="6552"/>
            <w:tcBorders>
              <w:top w:val="single" w:color="1F4E78" w:sz="6"/>
              <w:left w:val="single" w:color="1F4E78" w:sz="6"/>
              <w:bottom w:val="single" w:color="1F4E78" w:sz="6"/>
              <w:right w:val="single" w:color="1F4E78" w:sz="6"/>
            </w:tcBorders>
            <w:tcMar>
              <w:top w:type="dxa" w:w="80"/>
              <w:left w:type="dxa" w:w="120"/>
              <w:bottom w:type="dxa" w:w="80"/>
              <w:right w:type="dxa" w:w="120"/>
            </w:tcMar>
          </w:tcPr>
          <w:p>
            <w:r>
              <w:rPr>
                <w:rFonts w:ascii="Calibri" w:cs="Calibri" w:eastAsia="Calibri" w:hAnsi="Calibri"/>
                <w:sz w:val="22"/>
                <w:szCs w:val="22"/>
              </w:rPr>
              <w:t xml:space="preserve">10:00 AM – 6:00 PM IST</w:t>
            </w:r>
          </w:p>
        </w:tc>
      </w:tr>
      <w:tr>
        <w:tc>
          <w:tcPr>
            <w:tcW w:type="dxa" w:w="2808"/>
            <w:tcBorders>
              <w:top w:val="single" w:color="1F4E78" w:sz="6"/>
              <w:left w:val="single" w:color="1F4E78" w:sz="6"/>
              <w:bottom w:val="single" w:color="1F4E78" w:sz="6"/>
              <w:right w:val="single" w:color="1F4E78" w:sz="6"/>
            </w:tcBorders>
            <w:shd w:fill="D9E8F5" w:val="clear"/>
            <w:tcMar>
              <w:top w:type="dxa" w:w="80"/>
              <w:left w:type="dxa" w:w="120"/>
              <w:bottom w:type="dxa" w:w="80"/>
              <w:right w:type="dxa" w:w="120"/>
            </w:tcMar>
          </w:tcPr>
          <w:p>
            <w:r>
              <w:rPr>
                <w:rFonts w:ascii="Calibri" w:cs="Calibri" w:eastAsia="Calibri" w:hAnsi="Calibri"/>
                <w:b/>
                <w:bCs/>
                <w:sz w:val="22"/>
                <w:szCs w:val="22"/>
              </w:rPr>
              <w:t xml:space="preserve">Reporting To</w:t>
            </w:r>
          </w:p>
        </w:tc>
        <w:tc>
          <w:tcPr>
            <w:tcW w:type="dxa" w:w="6552"/>
            <w:tcBorders>
              <w:top w:val="single" w:color="1F4E78" w:sz="6"/>
              <w:left w:val="single" w:color="1F4E78" w:sz="6"/>
              <w:bottom w:val="single" w:color="1F4E78" w:sz="6"/>
              <w:right w:val="single" w:color="1F4E78" w:sz="6"/>
            </w:tcBorders>
            <w:shd w:fill="D9E8F5" w:val="clear"/>
            <w:tcMar>
              <w:top w:type="dxa" w:w="80"/>
              <w:left w:type="dxa" w:w="120"/>
              <w:bottom w:type="dxa" w:w="80"/>
              <w:right w:type="dxa" w:w="120"/>
            </w:tcMar>
          </w:tcPr>
          <w:p>
            <w:r>
              <w:rPr>
                <w:rFonts w:ascii="Calibri" w:cs="Calibri" w:eastAsia="Calibri" w:hAnsi="Calibri"/>
                <w:sz w:val="22"/>
                <w:szCs w:val="22"/>
              </w:rPr>
              <w:t xml:space="preserve">Business Development Manager / Team Lead</w:t>
            </w:r>
          </w:p>
        </w:tc>
      </w:tr>
      <w:tr>
        <w:tc>
          <w:tcPr>
            <w:tcW w:type="dxa" w:w="2808"/>
            <w:tcBorders>
              <w:top w:val="single" w:color="1F4E78" w:sz="6"/>
              <w:left w:val="single" w:color="1F4E78" w:sz="6"/>
              <w:bottom w:val="single" w:color="1F4E78" w:sz="6"/>
              <w:right w:val="single" w:color="1F4E78" w:sz="6"/>
            </w:tcBorders>
            <w:tcMar>
              <w:top w:type="dxa" w:w="80"/>
              <w:left w:type="dxa" w:w="120"/>
              <w:bottom w:type="dxa" w:w="80"/>
              <w:right w:type="dxa" w:w="120"/>
            </w:tcMar>
          </w:tcPr>
          <w:p>
            <w:r>
              <w:rPr>
                <w:rFonts w:ascii="Calibri" w:cs="Calibri" w:eastAsia="Calibri" w:hAnsi="Calibri"/>
                <w:b/>
                <w:bCs/>
                <w:sz w:val="22"/>
                <w:szCs w:val="22"/>
              </w:rPr>
              <w:t xml:space="preserve">Place of Work</w:t>
            </w:r>
          </w:p>
        </w:tc>
        <w:tc>
          <w:tcPr>
            <w:tcW w:type="dxa" w:w="6552"/>
            <w:tcBorders>
              <w:top w:val="single" w:color="1F4E78" w:sz="6"/>
              <w:left w:val="single" w:color="1F4E78" w:sz="6"/>
              <w:bottom w:val="single" w:color="1F4E78" w:sz="6"/>
              <w:right w:val="single" w:color="1F4E78" w:sz="6"/>
            </w:tcBorders>
            <w:tcMar>
              <w:top w:type="dxa" w:w="80"/>
              <w:left w:type="dxa" w:w="120"/>
              <w:bottom w:type="dxa" w:w="80"/>
              <w:right w:type="dxa" w:w="120"/>
            </w:tcMar>
          </w:tcPr>
          <w:p>
            <w:r>
              <w:rPr>
                <w:rFonts w:ascii="Calibri" w:cs="Calibri" w:eastAsia="Calibri" w:hAnsi="Calibri"/>
                <w:sz w:val="22"/>
                <w:szCs w:val="22"/>
              </w:rPr>
              <w:t xml:space="preserve">Pcube Solution Office / Remote</w:t>
            </w:r>
          </w:p>
        </w:tc>
      </w:tr>
    </w:tbl>
    <w:p>
      <w:pPr>
        <w:spacing w:after="240"/>
      </w:pPr>
    </w:p>
    <w:p>
      <w:pPr>
        <w:pStyle w:val="Heading1"/>
        <w:spacing w:after="120"/>
      </w:pPr>
      <w:r>
        <w:t xml:space="preserve">3. STIPEND — DURING INTERNSHIP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8" w:sz="6"/>
              <w:left w:val="single" w:color="1F4E78" w:sz="6"/>
              <w:bottom w:val="single" w:color="1F4E78" w:sz="6"/>
              <w:right w:val="single" w:color="1F4E78" w:sz="6"/>
            </w:tcBorders>
            <w:shd w:fill="1F4E78" w:val="clear"/>
            <w:tcMar>
              <w:top w:type="dxa" w:w="80"/>
              <w:left w:type="dxa" w:w="120"/>
              <w:bottom w:type="dxa" w:w="80"/>
              <w:right w:type="dxa" w:w="120"/>
            </w:tcMar>
          </w:tcPr>
          <w:p>
            <w:r>
              <w:rPr>
                <w:rFonts w:ascii="Calibri" w:cs="Calibri" w:eastAsia="Calibri" w:hAnsi="Calibri"/>
                <w:b/>
                <w:bCs/>
                <w:color w:val="FFFFFF"/>
                <w:sz w:val="22"/>
                <w:szCs w:val="22"/>
              </w:rPr>
              <w:t xml:space="preserve">Compensation Component</w:t>
            </w:r>
          </w:p>
        </w:tc>
        <w:tc>
          <w:tcPr>
            <w:tcW w:type="dxa" w:w="4680"/>
            <w:tcBorders>
              <w:top w:val="single" w:color="1F4E78" w:sz="6"/>
              <w:left w:val="single" w:color="1F4E78" w:sz="6"/>
              <w:bottom w:val="single" w:color="1F4E78" w:sz="6"/>
              <w:right w:val="single" w:color="1F4E78" w:sz="6"/>
            </w:tcBorders>
            <w:shd w:fill="1F4E78" w:val="clear"/>
            <w:tcMar>
              <w:top w:type="dxa" w:w="80"/>
              <w:left w:type="dxa" w:w="120"/>
              <w:bottom w:type="dxa" w:w="80"/>
              <w:right w:type="dxa" w:w="120"/>
            </w:tcMar>
          </w:tcPr>
          <w:p>
            <w:pPr>
              <w:jc w:val="right"/>
            </w:pPr>
            <w:r>
              <w:rPr>
                <w:rFonts w:ascii="Calibri" w:cs="Calibri" w:eastAsia="Calibri" w:hAnsi="Calibri"/>
                <w:b/>
                <w:bCs/>
                <w:color w:val="FFFFFF"/>
                <w:sz w:val="22"/>
                <w:szCs w:val="22"/>
              </w:rPr>
              <w:t xml:space="preserve">Amount (Per Month)</w:t>
            </w:r>
          </w:p>
        </w:tc>
      </w:tr>
      <w:tr>
        <w:tc>
          <w:tcPr>
            <w:tcW w:type="dxa" w:w="4680"/>
            <w:tcBorders>
              <w:top w:val="single" w:color="1F4E78" w:sz="6"/>
              <w:left w:val="single" w:color="1F4E78" w:sz="6"/>
              <w:bottom w:val="single" w:color="1F4E78" w:sz="6"/>
              <w:right w:val="single" w:color="1F4E78" w:sz="6"/>
            </w:tcBorders>
            <w:tcMar>
              <w:top w:type="dxa" w:w="80"/>
              <w:left w:type="dxa" w:w="120"/>
              <w:bottom w:type="dxa" w:w="80"/>
              <w:right w:type="dxa" w:w="120"/>
            </w:tcMar>
          </w:tcPr>
          <w:p>
            <w:r>
              <w:rPr>
                <w:rFonts w:ascii="Calibri" w:cs="Calibri" w:eastAsia="Calibri" w:hAnsi="Calibri"/>
                <w:sz w:val="22"/>
                <w:szCs w:val="22"/>
              </w:rPr>
              <w:t xml:space="preserve">Fixed Stipend</w:t>
            </w:r>
          </w:p>
        </w:tc>
        <w:tc>
          <w:tcPr>
            <w:tcW w:type="dxa" w:w="4680"/>
            <w:tcBorders>
              <w:top w:val="single" w:color="1F4E78" w:sz="6"/>
              <w:left w:val="single" w:color="1F4E78" w:sz="6"/>
              <w:bottom w:val="single" w:color="1F4E78" w:sz="6"/>
              <w:right w:val="single" w:color="1F4E78" w:sz="6"/>
            </w:tcBorders>
            <w:tcMar>
              <w:top w:type="dxa" w:w="80"/>
              <w:left w:type="dxa" w:w="120"/>
              <w:bottom w:type="dxa" w:w="80"/>
              <w:right w:type="dxa" w:w="120"/>
            </w:tcMar>
          </w:tcPr>
          <w:p>
            <w:pPr>
              <w:jc w:val="right"/>
            </w:pPr>
            <w:r>
              <w:rPr>
                <w:rFonts w:ascii="Calibri" w:cs="Calibri" w:eastAsia="Calibri" w:hAnsi="Calibri"/>
                <w:sz w:val="22"/>
                <w:szCs w:val="22"/>
              </w:rPr>
              <w:t xml:space="preserve">₹15,000</w:t>
            </w:r>
          </w:p>
        </w:tc>
      </w:tr>
      <w:tr>
        <w:tc>
          <w:tcPr>
            <w:tcW w:type="dxa" w:w="4680"/>
            <w:tcBorders>
              <w:top w:val="single" w:color="1F4E78" w:sz="6"/>
              <w:left w:val="single" w:color="1F4E78" w:sz="6"/>
              <w:bottom w:val="single" w:color="1F4E78" w:sz="6"/>
              <w:right w:val="single" w:color="1F4E78" w:sz="6"/>
            </w:tcBorders>
            <w:shd w:fill="D9E8F5" w:val="clear"/>
            <w:tcMar>
              <w:top w:type="dxa" w:w="80"/>
              <w:left w:type="dxa" w:w="120"/>
              <w:bottom w:type="dxa" w:w="80"/>
              <w:right w:type="dxa" w:w="120"/>
            </w:tcMar>
          </w:tcPr>
          <w:p>
            <w:r>
              <w:rPr>
                <w:rFonts w:ascii="Calibri" w:cs="Calibri" w:eastAsia="Calibri" w:hAnsi="Calibri"/>
                <w:sz w:val="22"/>
                <w:szCs w:val="22"/>
              </w:rPr>
              <w:t xml:space="preserve">Performance-Based Incentives (Target Linked)</w:t>
            </w:r>
          </w:p>
        </w:tc>
        <w:tc>
          <w:tcPr>
            <w:tcW w:type="dxa" w:w="4680"/>
            <w:tcBorders>
              <w:top w:val="single" w:color="1F4E78" w:sz="6"/>
              <w:left w:val="single" w:color="1F4E78" w:sz="6"/>
              <w:bottom w:val="single" w:color="1F4E78" w:sz="6"/>
              <w:right w:val="single" w:color="1F4E78" w:sz="6"/>
            </w:tcBorders>
            <w:shd w:fill="D9E8F5" w:val="clear"/>
            <w:tcMar>
              <w:top w:type="dxa" w:w="80"/>
              <w:left w:type="dxa" w:w="120"/>
              <w:bottom w:type="dxa" w:w="80"/>
              <w:right w:type="dxa" w:w="120"/>
            </w:tcMar>
          </w:tcPr>
          <w:p>
            <w:pPr>
              <w:jc w:val="right"/>
            </w:pPr>
            <w:r>
              <w:rPr>
                <w:rFonts w:ascii="Calibri" w:cs="Calibri" w:eastAsia="Calibri" w:hAnsi="Calibri"/>
                <w:sz w:val="22"/>
                <w:szCs w:val="22"/>
              </w:rPr>
              <w:t xml:space="preserve">Up to ₹10,000</w:t>
            </w:r>
          </w:p>
        </w:tc>
      </w:tr>
      <w:tr>
        <w:tc>
          <w:tcPr>
            <w:tcW w:type="dxa" w:w="4680"/>
            <w:tcBorders>
              <w:top w:val="single" w:color="1F4E78" w:sz="6"/>
              <w:left w:val="single" w:color="1F4E78" w:sz="6"/>
              <w:bottom w:val="single" w:color="1F4E78" w:sz="6"/>
              <w:right w:val="single" w:color="1F4E78" w:sz="6"/>
            </w:tcBorders>
            <w:shd w:fill="D9D9D9" w:val="clear"/>
            <w:tcMar>
              <w:top w:type="dxa" w:w="100"/>
              <w:left w:type="dxa" w:w="120"/>
              <w:bottom w:type="dxa" w:w="100"/>
              <w:right w:type="dxa" w:w="120"/>
            </w:tcMar>
          </w:tcPr>
          <w:p>
            <w:r>
              <w:rPr>
                <w:rFonts w:ascii="Calibri" w:cs="Calibri" w:eastAsia="Calibri" w:hAnsi="Calibri"/>
                <w:b/>
                <w:bCs/>
                <w:sz w:val="22"/>
                <w:szCs w:val="22"/>
              </w:rPr>
              <w:t xml:space="preserve">Total Earning Potential</w:t>
            </w:r>
          </w:p>
        </w:tc>
        <w:tc>
          <w:tcPr>
            <w:tcW w:type="dxa" w:w="4680"/>
            <w:tcBorders>
              <w:top w:val="single" w:color="1F4E78" w:sz="6"/>
              <w:left w:val="single" w:color="1F4E78" w:sz="6"/>
              <w:bottom w:val="single" w:color="1F4E78" w:sz="6"/>
              <w:right w:val="single" w:color="1F4E78" w:sz="6"/>
            </w:tcBorders>
            <w:shd w:fill="D9D9D9" w:val="clear"/>
            <w:tcMar>
              <w:top w:type="dxa" w:w="100"/>
              <w:left w:type="dxa" w:w="120"/>
              <w:bottom w:type="dxa" w:w="100"/>
              <w:right w:type="dxa" w:w="120"/>
            </w:tcMar>
          </w:tcPr>
          <w:p>
            <w:pPr>
              <w:jc w:val="right"/>
            </w:pPr>
            <w:r>
              <w:rPr>
                <w:rFonts w:ascii="Calibri" w:cs="Calibri" w:eastAsia="Calibri" w:hAnsi="Calibri"/>
                <w:b/>
                <w:bCs/>
                <w:sz w:val="22"/>
                <w:szCs w:val="22"/>
              </w:rPr>
              <w:t xml:space="preserve">Up to ₹25,000</w:t>
            </w:r>
          </w:p>
        </w:tc>
      </w:tr>
    </w:tbl>
    <w:p>
      <w:pPr>
        <w:spacing w:after="240"/>
      </w:pPr>
      <w:r>
        <w:rPr>
          <w:rFonts w:ascii="Calibri" w:cs="Calibri" w:eastAsia="Calibri" w:hAnsi="Calibri"/>
          <w:color w:val="595959"/>
          <w:sz w:val="20"/>
          <w:szCs w:val="20"/>
        </w:rPr>
        <w:t xml:space="preserve">Note: Incentives are disbursed monthly based on Key Performance Indicators (KPIs) and targets mutually agreed upon at the start of the internship.</w:t>
      </w:r>
    </w:p>
    <w:p>
      <w:pPr>
        <w:pStyle w:val="Heading1"/>
        <w:spacing w:after="120"/>
      </w:pPr>
      <w:r>
        <w:t xml:space="preserve">4. FULL-TIME EMPLOYMENT (FTE) COMPENSATION</w:t>
      </w:r>
    </w:p>
    <w:p>
      <w:pPr>
        <w:spacing w:after="120"/>
        <w:jc w:val="both"/>
      </w:pPr>
      <w:r>
        <w:rPr>
          <w:rFonts w:ascii="Calibri" w:cs="Calibri" w:eastAsia="Calibri" w:hAnsi="Calibri"/>
          <w:sz w:val="22"/>
          <w:szCs w:val="22"/>
        </w:rPr>
        <w:t xml:space="preserve">Upon successful completion of the internship and a positive performance review, you may be offered a confirmed full-time role at Pcube Solution. The proposed compensation structure for the full-time role is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8" w:sz="6"/>
              <w:left w:val="single" w:color="1F4E78" w:sz="6"/>
              <w:bottom w:val="single" w:color="1F4E78" w:sz="6"/>
              <w:right w:val="single" w:color="1F4E78" w:sz="6"/>
            </w:tcBorders>
            <w:shd w:fill="1F4E78" w:val="clear"/>
            <w:tcMar>
              <w:top w:type="dxa" w:w="80"/>
              <w:left w:type="dxa" w:w="120"/>
              <w:bottom w:type="dxa" w:w="80"/>
              <w:right w:type="dxa" w:w="120"/>
            </w:tcMar>
          </w:tcPr>
          <w:p>
            <w:r>
              <w:rPr>
                <w:rFonts w:ascii="Calibri" w:cs="Calibri" w:eastAsia="Calibri" w:hAnsi="Calibri"/>
                <w:b/>
                <w:bCs/>
                <w:color w:val="FFFFFF"/>
                <w:sz w:val="22"/>
                <w:szCs w:val="22"/>
              </w:rPr>
              <w:t xml:space="preserve">Compensation Component</w:t>
            </w:r>
          </w:p>
        </w:tc>
        <w:tc>
          <w:tcPr>
            <w:tcW w:type="dxa" w:w="4680"/>
            <w:tcBorders>
              <w:top w:val="single" w:color="1F4E78" w:sz="6"/>
              <w:left w:val="single" w:color="1F4E78" w:sz="6"/>
              <w:bottom w:val="single" w:color="1F4E78" w:sz="6"/>
              <w:right w:val="single" w:color="1F4E78" w:sz="6"/>
            </w:tcBorders>
            <w:shd w:fill="1F4E78" w:val="clear"/>
            <w:tcMar>
              <w:top w:type="dxa" w:w="80"/>
              <w:left w:type="dxa" w:w="120"/>
              <w:bottom w:type="dxa" w:w="80"/>
              <w:right w:type="dxa" w:w="120"/>
            </w:tcMar>
          </w:tcPr>
          <w:p>
            <w:pPr>
              <w:jc w:val="right"/>
            </w:pPr>
            <w:r>
              <w:rPr>
                <w:rFonts w:ascii="Calibri" w:cs="Calibri" w:eastAsia="Calibri" w:hAnsi="Calibri"/>
                <w:b/>
                <w:bCs/>
                <w:color w:val="FFFFFF"/>
                <w:sz w:val="22"/>
                <w:szCs w:val="22"/>
              </w:rPr>
              <w:t xml:space="preserve">Annual Amount (CTC)</w:t>
            </w:r>
          </w:p>
        </w:tc>
      </w:tr>
      <w:tr>
        <w:tc>
          <w:tcPr>
            <w:tcW w:type="dxa" w:w="4680"/>
            <w:tcBorders>
              <w:top w:val="single" w:color="1F4E78" w:sz="6"/>
              <w:left w:val="single" w:color="1F4E78" w:sz="6"/>
              <w:bottom w:val="single" w:color="1F4E78" w:sz="6"/>
              <w:right w:val="single" w:color="1F4E78" w:sz="6"/>
            </w:tcBorders>
            <w:tcMar>
              <w:top w:type="dxa" w:w="80"/>
              <w:left w:type="dxa" w:w="120"/>
              <w:bottom w:type="dxa" w:w="80"/>
              <w:right w:type="dxa" w:w="120"/>
            </w:tcMar>
          </w:tcPr>
          <w:p>
            <w:r>
              <w:rPr>
                <w:rFonts w:ascii="Calibri" w:cs="Calibri" w:eastAsia="Calibri" w:hAnsi="Calibri"/>
                <w:sz w:val="22"/>
                <w:szCs w:val="22"/>
              </w:rPr>
              <w:t xml:space="preserve">Fixed Annual Salary</w:t>
            </w:r>
          </w:p>
        </w:tc>
        <w:tc>
          <w:tcPr>
            <w:tcW w:type="dxa" w:w="4680"/>
            <w:tcBorders>
              <w:top w:val="single" w:color="1F4E78" w:sz="6"/>
              <w:left w:val="single" w:color="1F4E78" w:sz="6"/>
              <w:bottom w:val="single" w:color="1F4E78" w:sz="6"/>
              <w:right w:val="single" w:color="1F4E78" w:sz="6"/>
            </w:tcBorders>
            <w:tcMar>
              <w:top w:type="dxa" w:w="80"/>
              <w:left w:type="dxa" w:w="120"/>
              <w:bottom w:type="dxa" w:w="80"/>
              <w:right w:type="dxa" w:w="120"/>
            </w:tcMar>
          </w:tcPr>
          <w:p>
            <w:pPr>
              <w:jc w:val="right"/>
            </w:pPr>
            <w:r>
              <w:rPr>
                <w:rFonts w:ascii="Calibri" w:cs="Calibri" w:eastAsia="Calibri" w:hAnsi="Calibri"/>
                <w:sz w:val="22"/>
                <w:szCs w:val="22"/>
              </w:rPr>
              <w:t xml:space="preserve">₹5,50,000 (₹5.5 LPA)</w:t>
            </w:r>
          </w:p>
        </w:tc>
      </w:tr>
      <w:tr>
        <w:tc>
          <w:tcPr>
            <w:tcW w:type="dxa" w:w="4680"/>
            <w:tcBorders>
              <w:top w:val="single" w:color="1F4E78" w:sz="6"/>
              <w:left w:val="single" w:color="1F4E78" w:sz="6"/>
              <w:bottom w:val="single" w:color="1F4E78" w:sz="6"/>
              <w:right w:val="single" w:color="1F4E78" w:sz="6"/>
            </w:tcBorders>
            <w:shd w:fill="D9E8F5" w:val="clear"/>
            <w:tcMar>
              <w:top w:type="dxa" w:w="80"/>
              <w:left w:type="dxa" w:w="120"/>
              <w:bottom w:type="dxa" w:w="80"/>
              <w:right w:type="dxa" w:w="120"/>
            </w:tcMar>
          </w:tcPr>
          <w:p>
            <w:r>
              <w:rPr>
                <w:rFonts w:ascii="Calibri" w:cs="Calibri" w:eastAsia="Calibri" w:hAnsi="Calibri"/>
                <w:sz w:val="22"/>
                <w:szCs w:val="22"/>
              </w:rPr>
              <w:t xml:space="preserve">Performance-Based Variable Pay</w:t>
            </w:r>
          </w:p>
        </w:tc>
        <w:tc>
          <w:tcPr>
            <w:tcW w:type="dxa" w:w="4680"/>
            <w:tcBorders>
              <w:top w:val="single" w:color="1F4E78" w:sz="6"/>
              <w:left w:val="single" w:color="1F4E78" w:sz="6"/>
              <w:bottom w:val="single" w:color="1F4E78" w:sz="6"/>
              <w:right w:val="single" w:color="1F4E78" w:sz="6"/>
            </w:tcBorders>
            <w:shd w:fill="D9E8F5" w:val="clear"/>
            <w:tcMar>
              <w:top w:type="dxa" w:w="80"/>
              <w:left w:type="dxa" w:w="120"/>
              <w:bottom w:type="dxa" w:w="80"/>
              <w:right w:type="dxa" w:w="120"/>
            </w:tcMar>
          </w:tcPr>
          <w:p>
            <w:pPr>
              <w:jc w:val="right"/>
            </w:pPr>
            <w:r>
              <w:rPr>
                <w:rFonts w:ascii="Calibri" w:cs="Calibri" w:eastAsia="Calibri" w:hAnsi="Calibri"/>
                <w:sz w:val="22"/>
                <w:szCs w:val="22"/>
              </w:rPr>
              <w:t xml:space="preserve">Up to ₹2,50,000 (₹2.5 LPA)</w:t>
            </w:r>
          </w:p>
        </w:tc>
      </w:tr>
      <w:tr>
        <w:tc>
          <w:tcPr>
            <w:tcW w:type="dxa" w:w="4680"/>
            <w:tcBorders>
              <w:top w:val="single" w:color="1F4E78" w:sz="6"/>
              <w:left w:val="single" w:color="1F4E78" w:sz="6"/>
              <w:bottom w:val="single" w:color="1F4E78" w:sz="6"/>
              <w:right w:val="single" w:color="1F4E78" w:sz="6"/>
            </w:tcBorders>
            <w:shd w:fill="D9D9D9" w:val="clear"/>
            <w:tcMar>
              <w:top w:type="dxa" w:w="100"/>
              <w:left w:type="dxa" w:w="120"/>
              <w:bottom w:type="dxa" w:w="100"/>
              <w:right w:type="dxa" w:w="120"/>
            </w:tcMar>
          </w:tcPr>
          <w:p>
            <w:r>
              <w:rPr>
                <w:rFonts w:ascii="Calibri" w:cs="Calibri" w:eastAsia="Calibri" w:hAnsi="Calibri"/>
                <w:b/>
                <w:bCs/>
                <w:sz w:val="22"/>
                <w:szCs w:val="22"/>
              </w:rPr>
              <w:t xml:space="preserve">Total CTC (Cost to Company)</w:t>
            </w:r>
          </w:p>
        </w:tc>
        <w:tc>
          <w:tcPr>
            <w:tcW w:type="dxa" w:w="4680"/>
            <w:tcBorders>
              <w:top w:val="single" w:color="1F4E78" w:sz="6"/>
              <w:left w:val="single" w:color="1F4E78" w:sz="6"/>
              <w:bottom w:val="single" w:color="1F4E78" w:sz="6"/>
              <w:right w:val="single" w:color="1F4E78" w:sz="6"/>
            </w:tcBorders>
            <w:shd w:fill="D9D9D9" w:val="clear"/>
            <w:tcMar>
              <w:top w:type="dxa" w:w="100"/>
              <w:left w:type="dxa" w:w="120"/>
              <w:bottom w:type="dxa" w:w="100"/>
              <w:right w:type="dxa" w:w="120"/>
            </w:tcMar>
          </w:tcPr>
          <w:p>
            <w:pPr>
              <w:jc w:val="right"/>
            </w:pPr>
            <w:r>
              <w:rPr>
                <w:rFonts w:ascii="Calibri" w:cs="Calibri" w:eastAsia="Calibri" w:hAnsi="Calibri"/>
                <w:b/>
                <w:bCs/>
                <w:sz w:val="22"/>
                <w:szCs w:val="22"/>
              </w:rPr>
              <w:t xml:space="preserve">Up to ₹8,00,000 (₹8 LPA)</w:t>
            </w:r>
          </w:p>
        </w:tc>
      </w:tr>
    </w:tbl>
    <w:p>
      <w:pPr>
        <w:spacing w:after="240"/>
      </w:pPr>
      <w:r>
        <w:rPr>
          <w:rFonts w:ascii="Calibri" w:cs="Calibri" w:eastAsia="Calibri" w:hAnsi="Calibri"/>
          <w:color w:val="595959"/>
          <w:sz w:val="20"/>
          <w:szCs w:val="20"/>
        </w:rPr>
        <w:t xml:space="preserve">Note: The conversion to full-time employment is not guaranteed and is entirely subject to performance review, business requirements, and a formal confirmation letter issued separately. Variable pay will be governed by Pcube Solution's incentive policy in force at that time.</w:t>
      </w:r>
    </w:p>
    <w:p>
      <w:pPr>
        <w:pStyle w:val="Heading1"/>
        <w:spacing w:after="120"/>
      </w:pPr>
      <w:r>
        <w:t xml:space="preserve">5. ROLES &amp; RESPONSIBILITIES</w:t>
      </w:r>
    </w:p>
    <w:p>
      <w:pPr>
        <w:spacing w:after="80"/>
      </w:pPr>
      <w:r>
        <w:rPr>
          <w:rFonts w:ascii="Calibri" w:cs="Calibri" w:eastAsia="Calibri" w:hAnsi="Calibri"/>
          <w:sz w:val="22"/>
          <w:szCs w:val="22"/>
        </w:rPr>
        <w:t xml:space="preserve">As a Business Development Executive Intern, you will be expected to:</w:t>
      </w:r>
    </w:p>
    <w:p>
      <w:pPr>
        <w:spacing w:after="80" w:before="0"/>
        <w:ind w:left="720" w:hanging="360"/>
      </w:pPr>
      <w:r>
        <w:rPr>
          <w:rFonts w:ascii="Calibri" w:cs="Calibri" w:eastAsia="Calibri" w:hAnsi="Calibri"/>
          <w:sz w:val="22"/>
          <w:szCs w:val="22"/>
        </w:rPr>
        <w:t xml:space="preserve">• Identify, prospect, and generate qualified leads through digital channels, cold outreach, and networking</w:t>
      </w:r>
    </w:p>
    <w:p>
      <w:pPr>
        <w:spacing w:after="80" w:before="0"/>
        <w:ind w:left="720" w:hanging="360"/>
      </w:pPr>
      <w:r>
        <w:rPr>
          <w:rFonts w:ascii="Calibri" w:cs="Calibri" w:eastAsia="Calibri" w:hAnsi="Calibri"/>
          <w:sz w:val="22"/>
          <w:szCs w:val="22"/>
        </w:rPr>
        <w:t xml:space="preserve">• Pitch Pcube Solution's AI reputation management platform and all other products to prospective clients across target industries</w:t>
      </w:r>
    </w:p>
    <w:p>
      <w:pPr>
        <w:spacing w:after="80" w:before="0"/>
        <w:ind w:left="720" w:hanging="360"/>
      </w:pPr>
      <w:r>
        <w:rPr>
          <w:rFonts w:ascii="Calibri" w:cs="Calibri" w:eastAsia="Calibri" w:hAnsi="Calibri"/>
          <w:sz w:val="22"/>
          <w:szCs w:val="22"/>
        </w:rPr>
        <w:t xml:space="preserve">• Conduct discovery calls, product demos, and follow-ups to convert prospects into clients</w:t>
      </w:r>
    </w:p>
    <w:p>
      <w:pPr>
        <w:spacing w:after="80" w:before="0"/>
        <w:ind w:left="720" w:hanging="360"/>
      </w:pPr>
      <w:r>
        <w:rPr>
          <w:rFonts w:ascii="Calibri" w:cs="Calibri" w:eastAsia="Calibri" w:hAnsi="Calibri"/>
          <w:sz w:val="22"/>
          <w:szCs w:val="22"/>
        </w:rPr>
        <w:t xml:space="preserve">• Achieve weekly and monthly sales targets and KPIs as defined by your reporting manager</w:t>
      </w:r>
    </w:p>
    <w:p>
      <w:pPr>
        <w:spacing w:after="80" w:before="0"/>
        <w:ind w:left="720" w:hanging="360"/>
      </w:pPr>
      <w:r>
        <w:rPr>
          <w:rFonts w:ascii="Calibri" w:cs="Calibri" w:eastAsia="Calibri" w:hAnsi="Calibri"/>
          <w:sz w:val="22"/>
          <w:szCs w:val="22"/>
        </w:rPr>
        <w:t xml:space="preserve">• Maintain accurate records of all sales activities, leads, and client interactions in the CRM</w:t>
      </w:r>
    </w:p>
    <w:p>
      <w:pPr>
        <w:spacing w:after="80" w:before="0"/>
        <w:ind w:left="720" w:hanging="360"/>
      </w:pPr>
      <w:r>
        <w:rPr>
          <w:rFonts w:ascii="Calibri" w:cs="Calibri" w:eastAsia="Calibri" w:hAnsi="Calibri"/>
          <w:sz w:val="22"/>
          <w:szCs w:val="22"/>
        </w:rPr>
        <w:t xml:space="preserve">• Collaborate with the internal product, operations, and customer success teams for seamless onboarding</w:t>
      </w:r>
    </w:p>
    <w:p>
      <w:pPr>
        <w:spacing w:after="80" w:before="0"/>
        <w:ind w:left="720" w:hanging="360"/>
      </w:pPr>
      <w:r>
        <w:rPr>
          <w:rFonts w:ascii="Calibri" w:cs="Calibri" w:eastAsia="Calibri" w:hAnsi="Calibri"/>
          <w:sz w:val="22"/>
          <w:szCs w:val="22"/>
        </w:rPr>
        <w:t xml:space="preserve">• Prepare and present periodic sales reports, pipeline updates, and insights to the management team</w:t>
      </w:r>
    </w:p>
    <w:p>
      <w:pPr>
        <w:spacing w:after="80" w:before="0"/>
        <w:ind w:left="720" w:hanging="360"/>
      </w:pPr>
      <w:r>
        <w:rPr>
          <w:rFonts w:ascii="Calibri" w:cs="Calibri" w:eastAsia="Calibri" w:hAnsi="Calibri"/>
          <w:sz w:val="22"/>
          <w:szCs w:val="22"/>
        </w:rPr>
        <w:t xml:space="preserve">• Uphold Pcube Solution's values of integrity, client-centricity, and continuous improvement in all interactions</w:t>
      </w:r>
    </w:p>
    <w:p>
      <w:pPr>
        <w:spacing w:after="240"/>
      </w:pPr>
    </w:p>
    <w:p>
      <w:pPr>
        <w:pStyle w:val="Heading1"/>
        <w:spacing w:after="120"/>
      </w:pPr>
      <w:r>
        <w:t xml:space="preserve">6. TERMS &amp; CONDITIONS</w:t>
      </w:r>
    </w:p>
    <w:p>
      <w:pPr>
        <w:spacing w:after="100" w:before="0"/>
        <w:ind w:left="720" w:hanging="360"/>
      </w:pPr>
      <w:r>
        <w:rPr>
          <w:rFonts w:ascii="Calibri" w:cs="Calibri" w:eastAsia="Calibri" w:hAnsi="Calibri"/>
          <w:sz w:val="22"/>
          <w:szCs w:val="22"/>
        </w:rPr>
        <w:t xml:space="preserve">1. The 7-day training period is completely unpaid and is mandatory for all selected candidates. No exception will be made.</w:t>
      </w:r>
    </w:p>
    <w:p>
      <w:pPr>
        <w:spacing w:after="100" w:before="0"/>
        <w:ind w:left="720" w:hanging="360"/>
      </w:pPr>
      <w:r>
        <w:rPr>
          <w:rFonts w:ascii="Calibri" w:cs="Calibri" w:eastAsia="Calibri" w:hAnsi="Calibri"/>
          <w:sz w:val="22"/>
          <w:szCs w:val="22"/>
        </w:rPr>
        <w:t xml:space="preserve">2. Continuation from training to the internship phase is solely at the discretion of Pcube Solution based on training performance.</w:t>
      </w:r>
    </w:p>
    <w:p>
      <w:pPr>
        <w:spacing w:after="100" w:before="0"/>
        <w:ind w:left="720" w:hanging="360"/>
      </w:pPr>
      <w:r>
        <w:rPr>
          <w:rFonts w:ascii="Calibri" w:cs="Calibri" w:eastAsia="Calibri" w:hAnsi="Calibri"/>
          <w:sz w:val="22"/>
          <w:szCs w:val="22"/>
        </w:rPr>
        <w:t xml:space="preserve">3. Completion of the internship does not guarantee a full-time offer; conversion is subject to demonstrated performance against KPIs.</w:t>
      </w:r>
    </w:p>
    <w:p>
      <w:pPr>
        <w:spacing w:after="100" w:before="0"/>
        <w:ind w:left="720" w:hanging="360"/>
      </w:pPr>
      <w:r>
        <w:rPr>
          <w:rFonts w:ascii="Calibri" w:cs="Calibri" w:eastAsia="Calibri" w:hAnsi="Calibri"/>
          <w:sz w:val="22"/>
          <w:szCs w:val="22"/>
        </w:rPr>
        <w:t xml:space="preserve">4. The candidate must maintain strict confidentiality of all company data, client information, pricing, strategies, and proprietary processes, both during and after the engagement with Pcube Solution.</w:t>
      </w:r>
    </w:p>
    <w:p>
      <w:pPr>
        <w:spacing w:after="100" w:before="0"/>
        <w:ind w:left="720" w:hanging="360"/>
      </w:pPr>
      <w:r>
        <w:rPr>
          <w:rFonts w:ascii="Calibri" w:cs="Calibri" w:eastAsia="Calibri" w:hAnsi="Calibri"/>
          <w:sz w:val="22"/>
          <w:szCs w:val="22"/>
        </w:rPr>
        <w:t xml:space="preserve">5. All work, reports, client data, intellectual property, software, tools, and deliverables created during this engagement remain the sole property of Pcube Solution.</w:t>
      </w:r>
    </w:p>
    <w:p>
      <w:pPr>
        <w:spacing w:after="100" w:before="0"/>
        <w:ind w:left="720" w:hanging="360"/>
      </w:pPr>
      <w:r>
        <w:rPr>
          <w:rFonts w:ascii="Calibri" w:cs="Calibri" w:eastAsia="Calibri" w:hAnsi="Calibri"/>
          <w:sz w:val="22"/>
          <w:szCs w:val="22"/>
        </w:rPr>
        <w:t xml:space="preserve">6. The company reserves the right to terminate your training, internship, or employment at any time without prior notice in the event of misconduct, dishonesty, breach of confidentiality, or poor performance.</w:t>
      </w:r>
    </w:p>
    <w:p>
      <w:pPr>
        <w:spacing w:after="100" w:before="0"/>
        <w:ind w:left="720" w:hanging="360"/>
      </w:pPr>
      <w:r>
        <w:rPr>
          <w:rFonts w:ascii="Calibri" w:cs="Calibri" w:eastAsia="Calibri" w:hAnsi="Calibri"/>
          <w:sz w:val="22"/>
          <w:szCs w:val="22"/>
        </w:rPr>
        <w:t xml:space="preserve">7. The candidate must serve a notice period of 15 (Fifteen) days before resignation during the internship phase. No notice period is applicable during the 7-day training period.</w:t>
      </w:r>
    </w:p>
    <w:p>
      <w:pPr>
        <w:spacing w:after="100" w:before="0"/>
        <w:ind w:left="720" w:hanging="360"/>
      </w:pPr>
      <w:r>
        <w:rPr>
          <w:rFonts w:ascii="Calibri" w:cs="Calibri" w:eastAsia="Calibri" w:hAnsi="Calibri"/>
          <w:sz w:val="22"/>
          <w:szCs w:val="22"/>
        </w:rPr>
        <w:t xml:space="preserve">8. The candidate must not have any active academic backlogs at the time of joining.</w:t>
      </w:r>
    </w:p>
    <w:p>
      <w:pPr>
        <w:spacing w:after="100" w:before="0"/>
        <w:ind w:left="720" w:hanging="360"/>
      </w:pPr>
      <w:r>
        <w:rPr>
          <w:rFonts w:ascii="Calibri" w:cs="Calibri" w:eastAsia="Calibri" w:hAnsi="Calibri"/>
          <w:sz w:val="22"/>
          <w:szCs w:val="22"/>
        </w:rPr>
        <w:t xml:space="preserve">9. Attendance, punctuality, performance, and professional conduct will be closely monitored and will directly impact your assessment for full-time conversion.</w:t>
      </w:r>
    </w:p>
    <w:p>
      <w:pPr>
        <w:spacing w:after="100" w:before="0"/>
        <w:ind w:left="720" w:hanging="360"/>
      </w:pPr>
      <w:r>
        <w:rPr>
          <w:rFonts w:ascii="Calibri" w:cs="Calibri" w:eastAsia="Calibri" w:hAnsi="Calibri"/>
          <w:sz w:val="22"/>
          <w:szCs w:val="22"/>
        </w:rPr>
        <w:t xml:space="preserve">10. Any misuse of company resources, systems, data, client information, or platform access will result in immediate termination and may attract legal action under applicable Indian laws.</w:t>
      </w:r>
    </w:p>
    <w:p>
      <w:pPr>
        <w:spacing w:after="100" w:before="0"/>
        <w:ind w:left="720" w:hanging="360"/>
      </w:pPr>
      <w:r>
        <w:rPr>
          <w:rFonts w:ascii="Calibri" w:cs="Calibri" w:eastAsia="Calibri" w:hAnsi="Calibri"/>
          <w:sz w:val="22"/>
          <w:szCs w:val="22"/>
        </w:rPr>
        <w:t xml:space="preserve">11. This offer letter is strictly confidential and should not be shared with any third party without prior written consent of Pcube Solution.</w:t>
      </w:r>
    </w:p>
    <w:p>
      <w:pPr>
        <w:spacing w:after="100" w:before="0"/>
        <w:ind w:left="720" w:hanging="360"/>
      </w:pPr>
      <w:r>
        <w:rPr>
          <w:rFonts w:ascii="Calibri" w:cs="Calibri" w:eastAsia="Calibri" w:hAnsi="Calibri"/>
          <w:sz w:val="22"/>
          <w:szCs w:val="22"/>
        </w:rPr>
        <w:t xml:space="preserve">12. This offer is valid for acceptance within 3 (Three) working days from the date of issuance. Failure to revert within this period will render the offer null and void.</w:t>
      </w:r>
    </w:p>
    <w:p>
      <w:pPr>
        <w:spacing w:after="240"/>
      </w:pPr>
    </w:p>
    <w:p>
      <w:pPr>
        <w:pStyle w:val="Heading1"/>
        <w:spacing w:after="120"/>
      </w:pPr>
      <w:r>
        <w:t xml:space="preserve">7. CERTIFICATE &amp; EXPERIENCE LETTER</w:t>
      </w:r>
    </w:p>
    <w:p>
      <w:pPr>
        <w:spacing w:after="80" w:before="0"/>
        <w:ind w:left="720" w:hanging="360"/>
      </w:pPr>
      <w:r>
        <w:rPr>
          <w:rFonts w:ascii="Calibri" w:cs="Calibri" w:eastAsia="Calibri" w:hAnsi="Calibri"/>
          <w:sz w:val="22"/>
          <w:szCs w:val="22"/>
        </w:rPr>
        <w:t xml:space="preserve">• An Internship Completion Certificate will be issued to candidates who successfully complete the stipulated internship period and meet performance criteria.</w:t>
      </w:r>
    </w:p>
    <w:p>
      <w:pPr>
        <w:spacing w:after="80" w:before="0"/>
        <w:ind w:left="720" w:hanging="360"/>
      </w:pPr>
      <w:r>
        <w:rPr>
          <w:rFonts w:ascii="Calibri" w:cs="Calibri" w:eastAsia="Calibri" w:hAnsi="Calibri"/>
          <w:sz w:val="22"/>
          <w:szCs w:val="22"/>
        </w:rPr>
        <w:t xml:space="preserve">• A Full-Time Experience Letter will be issued to employees upon successful completion of their tenure with Pcube Solution.</w:t>
      </w:r>
    </w:p>
    <w:p>
      <w:pPr>
        <w:spacing w:after="80" w:before="0"/>
        <w:ind w:left="720" w:hanging="360"/>
      </w:pPr>
      <w:r>
        <w:rPr>
          <w:rFonts w:ascii="Calibri" w:cs="Calibri" w:eastAsia="Calibri" w:hAnsi="Calibri"/>
          <w:sz w:val="22"/>
          <w:szCs w:val="22"/>
        </w:rPr>
        <w:t xml:space="preserve">• These documents will be issued only if there is no pending dispute, dues, or disciplinary action against the candidate.</w:t>
      </w:r>
    </w:p>
    <w:p>
      <w:pPr>
        <w:spacing w:after="320"/>
      </w:pPr>
    </w:p>
    <w:p>
      <w:pPr>
        <w:spacing w:after="240"/>
        <w:jc w:val="center"/>
      </w:pPr>
      <w:r>
        <w:rPr>
          <w:rFonts w:ascii="Calibri" w:cs="Calibri" w:eastAsia="Calibri" w:hAnsi="Calibri"/>
          <w:b/>
          <w:bCs/>
          <w:color w:val="1F4E78"/>
          <w:sz w:val="26"/>
          <w:szCs w:val="26"/>
        </w:rPr>
        <w:t xml:space="preserve">ACCEPTANCE OF OFFER</w:t>
      </w:r>
    </w:p>
    <w:p>
      <w:pPr>
        <w:spacing w:after="200"/>
        <w:jc w:val="both"/>
      </w:pPr>
      <w:r>
        <w:rPr>
          <w:rFonts w:ascii="Calibri" w:cs="Calibri" w:eastAsia="Calibri" w:hAnsi="Calibri"/>
          <w:sz w:val="22"/>
          <w:szCs w:val="22"/>
        </w:rPr>
        <w:t xml:space="preserve">By signing below, you confirm that you have read, understood, and agree to all the terms and conditions set forth in this Offer Letter. You further confirm that all information provided during your application and interview process is accurate and truthful.</w:t>
      </w:r>
    </w:p>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0"/>
              <w:left w:type="dxa" w:w="0"/>
              <w:bottom w:type="dxa" w:w="0"/>
              <w:right w:type="dxa" w:w="0"/>
            </w:tcMar>
          </w:tcPr>
          <w:p>
            <w:pPr>
              <w:spacing w:after="400"/>
            </w:pPr>
            <w:r>
              <w:rPr>
                <w:rFonts w:ascii="Calibri" w:cs="Calibri" w:eastAsia="Calibri" w:hAnsi="Calibri"/>
                <w:b/>
                <w:bCs/>
                <w:sz w:val="22"/>
                <w:szCs w:val="22"/>
              </w:rPr>
              <w:t xml:space="preserve">FOR PCUBE SOLUTION</w:t>
            </w:r>
          </w:p>
          <w:p>
            <w:pPr>
              <w:pBdr>
                <w:bottom w:val="single" w:color="000000" w:sz="6"/>
              </w:pBdr>
              <w:spacing w:after="80"/>
            </w:pPr>
            <w:r>
              <w:rPr>
                <w:rFonts w:ascii="Calibri" w:cs="Calibri" w:eastAsia="Calibri" w:hAnsi="Calibri"/>
                <w:sz w:val="22"/>
                <w:szCs w:val="22"/>
              </w:rPr>
              <w:t xml:space="preserve"/>
            </w:r>
          </w:p>
          <w:p>
            <w:pPr>
              <w:spacing w:after="40"/>
            </w:pPr>
            <w:r>
              <w:rPr>
                <w:rFonts w:ascii="Calibri" w:cs="Calibri" w:eastAsia="Calibri" w:hAnsi="Calibri"/>
                <w:b/>
                <w:bCs/>
                <w:sz w:val="22"/>
                <w:szCs w:val="22"/>
              </w:rPr>
              <w:t xml:space="preserve">Sudhipa Seth</w:t>
            </w:r>
          </w:p>
          <w:p>
            <w:pPr>
              <w:spacing w:after="40"/>
            </w:pPr>
            <w:r>
              <w:rPr>
                <w:rFonts w:ascii="Calibri" w:cs="Calibri" w:eastAsia="Calibri" w:hAnsi="Calibri"/>
                <w:sz w:val="22"/>
                <w:szCs w:val="22"/>
              </w:rPr>
              <w:t xml:space="preserve">HR Manager</w:t>
            </w:r>
          </w:p>
          <w:p>
            <w:r>
              <w:rPr>
                <w:rFonts w:ascii="Calibri" w:cs="Calibri" w:eastAsia="Calibri" w:hAnsi="Calibri"/>
                <w:sz w:val="22"/>
                <w:szCs w:val="22"/>
              </w:rPr>
              <w:t xml:space="preserve">Pcube Solution</w:t>
            </w:r>
          </w:p>
        </w:tc>
        <w:tc>
          <w:tcPr>
            <w:tcW w:type="dxa" w:w="4680"/>
            <w:tcBorders>
              <w:top w:val="none"/>
              <w:left w:val="none"/>
              <w:bottom w:val="none"/>
              <w:right w:val="none"/>
            </w:tcBorders>
            <w:tcMar>
              <w:top w:type="dxa" w:w="0"/>
              <w:left w:type="dxa" w:w="0"/>
              <w:bottom w:type="dxa" w:w="0"/>
              <w:right w:type="dxa" w:w="0"/>
            </w:tcMar>
          </w:tcPr>
          <w:p>
            <w:pPr>
              <w:spacing w:after="400"/>
            </w:pPr>
            <w:r>
              <w:rPr>
                <w:rFonts w:ascii="Calibri" w:cs="Calibri" w:eastAsia="Calibri" w:hAnsi="Calibri"/>
                <w:b/>
                <w:bCs/>
                <w:sz w:val="22"/>
                <w:szCs w:val="22"/>
              </w:rPr>
              <w:t xml:space="preserve">ACCEPTED &amp; AGREED BY</w:t>
            </w:r>
          </w:p>
          <w:p>
            <w:pPr>
              <w:pBdr>
                <w:bottom w:val="single" w:color="000000" w:sz="6"/>
              </w:pBdr>
              <w:spacing w:after="80"/>
            </w:pPr>
            <w:r>
              <w:rPr>
                <w:rFonts w:ascii="Calibri" w:cs="Calibri" w:eastAsia="Calibri" w:hAnsi="Calibri"/>
                <w:sz w:val="22"/>
                <w:szCs w:val="22"/>
              </w:rPr>
              <w:t xml:space="preserve"/>
            </w:r>
          </w:p>
          <w:p>
            <w:pPr>
              <w:spacing w:after="40"/>
            </w:pPr>
            <w:r>
              <w:rPr>
                <w:rFonts w:ascii="Calibri" w:cs="Calibri" w:eastAsia="Calibri" w:hAnsi="Calibri"/>
                <w:b/>
                <w:bCs/>
                <w:sz w:val="22"/>
                <w:szCs w:val="22"/>
              </w:rPr>
              <w:t xml:space="preserve">Candidate's Signature</w:t>
            </w:r>
          </w:p>
          <w:p>
            <w:pPr>
              <w:spacing w:after="40"/>
            </w:pPr>
            <w:r>
              <w:rPr>
                <w:rFonts w:ascii="Calibri" w:cs="Calibri" w:eastAsia="Calibri" w:hAnsi="Calibri"/>
                <w:sz w:val="22"/>
                <w:szCs w:val="22"/>
              </w:rPr>
              <w:t xml:space="preserve">Name: _________________________</w:t>
            </w:r>
          </w:p>
          <w:p>
            <w:pPr>
              <w:spacing w:after="40"/>
            </w:pPr>
            <w:r>
              <w:rPr>
                <w:rFonts w:ascii="Calibri" w:cs="Calibri" w:eastAsia="Calibri" w:hAnsi="Calibri"/>
                <w:sz w:val="22"/>
                <w:szCs w:val="22"/>
              </w:rPr>
              <w:t xml:space="preserve">Date: _________________________</w:t>
            </w:r>
          </w:p>
          <w:p>
            <w:r>
              <w:rPr>
                <w:rFonts w:ascii="Calibri" w:cs="Calibri" w:eastAsia="Calibri" w:hAnsi="Calibri"/>
                <w:sz w:val="22"/>
                <w:szCs w:val="22"/>
              </w:rPr>
              <w:t xml:space="preserve">Place: _________________________</w:t>
            </w:r>
          </w:p>
        </w:tc>
      </w:tr>
    </w:tbl>
    <w:p>
      <w:pPr>
        <w:spacing w:after="320"/>
      </w:pPr>
    </w:p>
    <w:p>
      <w:pPr>
        <w:pBdr>
          <w:top w:val="single" w:color="1F4E78" w:sz="12" w:space="1"/>
        </w:pBdr>
        <w:spacing w:after="100" w:before="100"/>
        <w:jc w:val="center"/>
      </w:pPr>
      <w:r>
        <w:rPr>
          <w:rFonts w:ascii="Calibri" w:cs="Calibri" w:eastAsia="Calibri" w:hAnsi="Calibri"/>
          <w:color w:val="595959"/>
          <w:sz w:val="20"/>
          <w:szCs w:val="20"/>
        </w:rPr>
        <w:t xml:space="preserve">Pcube Solution | Sector 63, Noida, Uttar Pradesh – 201301 | info@pcubesolution.com | www.pcubesolution.com</w:t>
      </w:r>
    </w:p>
    <w:p>
      <w:pPr>
        <w:jc w:val="center"/>
      </w:pPr>
      <w:r>
        <w:rPr>
          <w:rFonts w:ascii="Calibri" w:cs="Calibri" w:eastAsia="Calibri" w:hAnsi="Calibri"/>
          <w:color w:val="595959"/>
          <w:sz w:val="20"/>
          <w:szCs w:val="20"/>
        </w:rPr>
        <w:t xml:space="preserve">This document is legally binding once signed by both parties. Unauthorized reproduction is strictly prohibited.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Calibri" w:cs="Calibri" w:eastAsia="Calibri" w:hAnsi="Calibri"/>
      <w:b/>
      <w:bCs/>
      <w:color w:val="1F4E78"/>
      <w:sz w:val="32"/>
      <w:szCs w:val="32"/>
    </w:rPr>
  </w:style>
  <w:style w:type="paragraph" w:styleId="Heading2">
    <w:name w:val="Heading 2"/>
    <w:basedOn w:val="Normal"/>
    <w:next w:val="Normal"/>
    <w:qFormat/>
    <w:pPr>
      <w:spacing w:after="100" w:before="200"/>
    </w:pPr>
    <w:rPr>
      <w:rFonts w:ascii="Calibri" w:cs="Calibri" w:eastAsia="Calibri" w:hAnsi="Calibri"/>
      <w:b/>
      <w:bCs/>
      <w:color w:val="1F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2026-04-25T08:43:58.831Z</dcterms:created>
  <dcterms:modified xsi:type="dcterms:W3CDTF">2026-04-25T08:43:58.832Z</dcterms:modified>
</cp:coreProperties>
</file>

<file path=docProps/custom.xml><?xml version="1.0" encoding="utf-8"?>
<Properties xmlns="http://schemas.openxmlformats.org/officeDocument/2006/custom-properties" xmlns:vt="http://schemas.openxmlformats.org/officeDocument/2006/docPropsVTypes"/>
</file>