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1F3B57"/>
          <w:sz w:val="44"/>
          <w:szCs w:val="44"/>
        </w:rPr>
        <w:t xml:space="preserve">PENETRATION TESTING REPORT</w:t>
      </w:r>
    </w:p>
    <w:p>
      <w:pPr>
        <w:spacing w:after="400"/>
      </w:pPr>
      <w:r>
        <w:rPr>
          <w:color w:val="6B7280"/>
          <w:sz w:val="26"/>
          <w:szCs w:val="26"/>
        </w:rPr>
        <w:t xml:space="preserve">Mediroza General Hospital — Patient Portal &amp; Web Infrastructure</w:t>
      </w:r>
    </w:p>
    <w:p>
      <w:pPr>
        <w:pBdr>
          <w:bottom w:val="single" w:color="CCCCCC" w:sz="6" w:space="4"/>
        </w:pBdr>
        <w:spacing w:after="200"/>
      </w:pPr>
    </w:p>
    <w:p>
      <w:pPr>
        <w:spacing w:after="60"/>
      </w:pPr>
      <w:r>
        <w:rPr>
          <w:b/>
          <w:bCs/>
        </w:rPr>
        <w:t xml:space="preserve">Client: </w:t>
      </w:r>
      <w:r>
        <w:t xml:space="preserve">Mediroza General Hospital</w:t>
      </w:r>
    </w:p>
    <w:p>
      <w:pPr>
        <w:spacing w:after="60"/>
      </w:pPr>
      <w:r>
        <w:rPr>
          <w:b/>
          <w:bCs/>
        </w:rPr>
        <w:t xml:space="preserve">Target: </w:t>
      </w:r>
      <w:r>
        <w:t xml:space="preserve">medirozahospital.com</w:t>
      </w:r>
    </w:p>
    <w:p>
      <w:pPr>
        <w:spacing w:after="60"/>
      </w:pPr>
      <w:r>
        <w:rPr>
          <w:b/>
          <w:bCs/>
        </w:rPr>
        <w:t xml:space="preserve">Engagement type: </w:t>
      </w:r>
      <w:r>
        <w:t xml:space="preserve">Authorised web application penetration test (black-box, credential-guessing permitted)</w:t>
      </w:r>
    </w:p>
    <w:p>
      <w:pPr>
        <w:spacing w:after="60"/>
      </w:pPr>
      <w:r>
        <w:rPr>
          <w:b/>
          <w:bCs/>
        </w:rPr>
        <w:t xml:space="preserve">Tester: </w:t>
      </w:r>
      <w:r>
        <w:t xml:space="preserve">[Your Name], Student — Networkwalks Academy</w:t>
      </w:r>
    </w:p>
    <w:p>
      <w:pPr>
        <w:spacing w:after="60"/>
      </w:pPr>
      <w:r>
        <w:rPr>
          <w:b/>
          <w:bCs/>
        </w:rPr>
        <w:t xml:space="preserve">Testing window: </w:t>
      </w:r>
      <w:r>
        <w:t xml:space="preserve">4–7 September 2026</w:t>
      </w:r>
    </w:p>
    <w:p>
      <w:pPr>
        <w:spacing w:after="60"/>
      </w:pPr>
      <w:r>
        <w:rPr>
          <w:b/>
          <w:bCs/>
        </w:rPr>
        <w:t xml:space="preserve">Report date: </w:t>
      </w:r>
      <w:r>
        <w:t xml:space="preserve">7 September 2026</w:t>
      </w:r>
    </w:p>
    <w:p>
      <w:pPr>
        <w:spacing w:after="60"/>
      </w:pPr>
      <w:r>
        <w:rPr>
          <w:b/>
          <w:bCs/>
        </w:rPr>
        <w:t xml:space="preserve">Authorisation: </w:t>
      </w:r>
      <w:r>
        <w:t xml:space="preserve">Written permission granted by client for all testing activities described in this report</w:t>
      </w:r>
    </w:p>
    <w:p>
      <w:pPr>
        <w:pBdr>
          <w:bottom w:val="single" w:color="CCCCCC" w:sz="6" w:space="4"/>
        </w:pBdr>
        <w:spacing w:after="200"/>
      </w:pPr>
    </w:p>
    <w:p>
      <w:pPr>
        <w:pStyle w:val="Heading1"/>
        <w:spacing w:after="160" w:before="360"/>
      </w:pPr>
      <w:r>
        <w:t xml:space="preserve">1. Executive Summary</w:t>
      </w:r>
    </w:p>
    <w:p>
      <w:pPr>
        <w:spacing w:after="160"/>
      </w:pPr>
      <w:r>
        <w:t xml:space="preserve">This report documents the results of an authorised penetration test conducted against the public-facing web application and supporting infrastructure of Mediroza General Hospital, hosted at medirozahospital.com. Testing was carried out with the client's written permission and was scoped to the patient portal, its authentication mechanism, and any exposed backend resources reachable from the internet.</w:t>
      </w:r>
    </w:p>
    <w:p>
      <w:pPr>
        <w:spacing w:after="160"/>
      </w:pPr>
      <w:r>
        <w:t xml:space="preserve">The assessment identified four findings, including one Critical and two High severity issues. The tester was able to authenticate to the patient portal without valid credentials by exploiting the absence of brute-force protection, download three confidential pathology PDF reports, and recover the password protecting each file using dictionary-based cracking. Separately, a legacy backup directory was found to be publicly accessible and contained an unencrypted SQL database export with the personal and salary details of 30 hospital staff members and the full shareholder register of the hospital, including ownership percentages and share classes.</w:t>
      </w:r>
    </w:p>
    <w:p>
      <w:pPr>
        <w:spacing w:after="160"/>
      </w:pPr>
      <w:r>
        <w:t xml:space="preserve">Taken together, these findings represent a serious and immediate risk to patient confidentiality, staff privacy, and corporate governance data. The root causes are consistent and correctable: legacy/backup files left on the production web root, directory listing left enabled, no rate-limiting on the login form, and weak, easily guessable passwords used both for the admin account and for encrypting confidential documents. Remediation guidance for each finding is provided in Section 5.</w:t>
      </w:r>
    </w:p>
    <w:p>
      <w:pPr>
        <w:pStyle w:val="Heading2"/>
        <w:spacing w:after="120" w:before="260"/>
      </w:pPr>
      <w:r>
        <w:t xml:space="preserve">Risk Summary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600"/>
        <w:gridCol w:w="1700"/>
      </w:tblGrid>
      <w:tr>
        <w:trPr>
          <w:tblHeader/>
        </w:trPr>
        <w:tc>
          <w:tcPr>
            <w:tcW w:type="dxa" w:w="900"/>
            <w:shd w:fill="1F3B57" w:color="auto" w:val="clear"/>
          </w:tcPr>
          <w:p>
            <w:r>
              <w:rPr>
                <w:b/>
                <w:bCs/>
                <w:color w:val="FFFFFF"/>
              </w:rPr>
              <w:t xml:space="preserve">ID</w:t>
            </w:r>
          </w:p>
        </w:tc>
        <w:tc>
          <w:tcPr>
            <w:tcW w:type="dxa" w:w="4200"/>
            <w:shd w:fill="1F3B57" w:color="auto" w:val="clear"/>
          </w:tcPr>
          <w:p>
            <w:r>
              <w:rPr>
                <w:b/>
                <w:bCs/>
                <w:color w:val="FFFFFF"/>
              </w:rPr>
              <w:t xml:space="preserve">Finding</w:t>
            </w:r>
          </w:p>
        </w:tc>
        <w:tc>
          <w:tcPr>
            <w:tcW w:type="dxa" w:w="1600"/>
            <w:shd w:fill="1F3B57" w:color="auto" w:val="clear"/>
          </w:tcPr>
          <w:p>
            <w:r>
              <w:rPr>
                <w:b/>
                <w:bCs/>
                <w:color w:val="FFFFFF"/>
              </w:rPr>
              <w:t xml:space="preserve">Severity</w:t>
            </w:r>
          </w:p>
        </w:tc>
        <w:tc>
          <w:tcPr>
            <w:tcW w:type="dxa" w:w="1700"/>
            <w:shd w:fill="1F3B57" w:color="auto" w:val="clear"/>
          </w:tcPr>
          <w:p>
            <w:r>
              <w:rPr>
                <w:b/>
                <w:bCs/>
                <w:color w:val="FFFFFF"/>
              </w:rPr>
              <w:t xml:space="preserve">Milestone</w:t>
            </w:r>
          </w:p>
        </w:tc>
      </w:tr>
      <w:tr>
        <w:tc>
          <w:tcPr>
            <w:tcW w:type="dxa" w:w="900"/>
            <w:vAlign w:val="center"/>
          </w:tcPr>
          <w:p>
            <w:r>
              <w:rPr>
                <w:b w:val="false"/>
                <w:bCs w:val="false"/>
              </w:rPr>
              <w:t xml:space="preserve">F1</w:t>
            </w:r>
          </w:p>
        </w:tc>
        <w:tc>
          <w:tcPr>
            <w:tcW w:type="dxa" w:w="4200"/>
            <w:vAlign w:val="center"/>
          </w:tcPr>
          <w:p>
            <w:r>
              <w:rPr>
                <w:b w:val="false"/>
                <w:bCs w:val="false"/>
              </w:rPr>
              <w:t xml:space="preserve">Sensitive database backup exposed via predictable/legacy directory (/old/)</w:t>
            </w:r>
          </w:p>
        </w:tc>
        <w:tc>
          <w:tcPr>
            <w:tcW w:type="dxa" w:w="1600"/>
            <w:shd w:fill="7B241C" w:color="auto" w:val="clear"/>
            <w:vAlign w:val="center"/>
          </w:tcPr>
          <w:p>
            <w:pPr>
              <w:jc w:val="center"/>
            </w:pPr>
            <w:r>
              <w:rPr>
                <w:b/>
                <w:bCs/>
                <w:color w:val="FFFFFF"/>
              </w:rPr>
              <w:t xml:space="preserve">Critical</w:t>
            </w:r>
          </w:p>
        </w:tc>
        <w:tc>
          <w:tcPr>
            <w:tcW w:type="dxa" w:w="1700"/>
            <w:vAlign w:val="center"/>
          </w:tcPr>
          <w:p>
            <w:r>
              <w:rPr>
                <w:b w:val="false"/>
                <w:bCs w:val="false"/>
              </w:rPr>
              <w:t xml:space="preserve">M1 / M3</w:t>
            </w:r>
          </w:p>
        </w:tc>
      </w:tr>
      <w:tr>
        <w:tc>
          <w:tcPr>
            <w:tcW w:type="dxa" w:w="900"/>
            <w:vAlign w:val="center"/>
          </w:tcPr>
          <w:p>
            <w:r>
              <w:rPr>
                <w:b w:val="false"/>
                <w:bCs w:val="false"/>
              </w:rPr>
              <w:t xml:space="preserve">F2</w:t>
            </w:r>
          </w:p>
        </w:tc>
        <w:tc>
          <w:tcPr>
            <w:tcW w:type="dxa" w:w="4200"/>
            <w:vAlign w:val="center"/>
          </w:tcPr>
          <w:p>
            <w:r>
              <w:rPr>
                <w:b w:val="false"/>
                <w:bCs w:val="false"/>
              </w:rPr>
              <w:t xml:space="preserve">Directory listing enabled, exposing application source and internal paths</w:t>
            </w:r>
          </w:p>
        </w:tc>
        <w:tc>
          <w:tcPr>
            <w:tcW w:type="dxa" w:w="1600"/>
            <w:shd w:fill="B03A2E" w:color="auto" w:val="clear"/>
            <w:vAlign w:val="center"/>
          </w:tcPr>
          <w:p>
            <w:pPr>
              <w:jc w:val="center"/>
            </w:pPr>
            <w:r>
              <w:rPr>
                <w:b/>
                <w:bCs/>
                <w:color w:val="FFFFFF"/>
              </w:rPr>
              <w:t xml:space="preserve">High</w:t>
            </w:r>
          </w:p>
        </w:tc>
        <w:tc>
          <w:tcPr>
            <w:tcW w:type="dxa" w:w="1700"/>
            <w:vAlign w:val="center"/>
          </w:tcPr>
          <w:p>
            <w:r>
              <w:rPr>
                <w:b w:val="false"/>
                <w:bCs w:val="false"/>
              </w:rPr>
              <w:t xml:space="preserve">M1</w:t>
            </w:r>
          </w:p>
        </w:tc>
      </w:tr>
      <w:tr>
        <w:tc>
          <w:tcPr>
            <w:tcW w:type="dxa" w:w="900"/>
            <w:vAlign w:val="center"/>
          </w:tcPr>
          <w:p>
            <w:r>
              <w:rPr>
                <w:b w:val="false"/>
                <w:bCs w:val="false"/>
              </w:rPr>
              <w:t xml:space="preserve">F3</w:t>
            </w:r>
          </w:p>
        </w:tc>
        <w:tc>
          <w:tcPr>
            <w:tcW w:type="dxa" w:w="4200"/>
            <w:vAlign w:val="center"/>
          </w:tcPr>
          <w:p>
            <w:r>
              <w:rPr>
                <w:b w:val="false"/>
                <w:bCs w:val="false"/>
              </w:rPr>
              <w:t xml:space="preserve">Weak authentication — no account lockout or rate limiting on login.php</w:t>
            </w:r>
          </w:p>
        </w:tc>
        <w:tc>
          <w:tcPr>
            <w:tcW w:type="dxa" w:w="1600"/>
            <w:shd w:fill="B03A2E" w:color="auto" w:val="clear"/>
            <w:vAlign w:val="center"/>
          </w:tcPr>
          <w:p>
            <w:pPr>
              <w:jc w:val="center"/>
            </w:pPr>
            <w:r>
              <w:rPr>
                <w:b/>
                <w:bCs/>
                <w:color w:val="FFFFFF"/>
              </w:rPr>
              <w:t xml:space="preserve">High</w:t>
            </w:r>
          </w:p>
        </w:tc>
        <w:tc>
          <w:tcPr>
            <w:tcW w:type="dxa" w:w="1700"/>
            <w:vAlign w:val="center"/>
          </w:tcPr>
          <w:p>
            <w:r>
              <w:rPr>
                <w:b w:val="false"/>
                <w:bCs w:val="false"/>
              </w:rPr>
              <w:t xml:space="preserve">M1</w:t>
            </w:r>
          </w:p>
        </w:tc>
      </w:tr>
      <w:tr>
        <w:tc>
          <w:tcPr>
            <w:tcW w:type="dxa" w:w="900"/>
            <w:vAlign w:val="center"/>
          </w:tcPr>
          <w:p>
            <w:r>
              <w:rPr>
                <w:b w:val="false"/>
                <w:bCs w:val="false"/>
              </w:rPr>
              <w:t xml:space="preserve">F4</w:t>
            </w:r>
          </w:p>
        </w:tc>
        <w:tc>
          <w:tcPr>
            <w:tcW w:type="dxa" w:w="4200"/>
            <w:vAlign w:val="center"/>
          </w:tcPr>
          <w:p>
            <w:r>
              <w:rPr>
                <w:b w:val="false"/>
                <w:bCs w:val="false"/>
              </w:rPr>
              <w:t xml:space="preserve">Weak, dictionary-crackable passwords protecting confidential patient PDF reports</w:t>
            </w:r>
          </w:p>
        </w:tc>
        <w:tc>
          <w:tcPr>
            <w:tcW w:type="dxa" w:w="1600"/>
            <w:shd w:fill="C08A1E" w:color="auto" w:val="clear"/>
            <w:vAlign w:val="center"/>
          </w:tcPr>
          <w:p>
            <w:pPr>
              <w:jc w:val="center"/>
            </w:pPr>
            <w:r>
              <w:rPr>
                <w:b/>
                <w:bCs/>
                <w:color w:val="FFFFFF"/>
              </w:rPr>
              <w:t xml:space="preserve">Medium</w:t>
            </w:r>
          </w:p>
        </w:tc>
        <w:tc>
          <w:tcPr>
            <w:tcW w:type="dxa" w:w="1700"/>
            <w:vAlign w:val="center"/>
          </w:tcPr>
          <w:p>
            <w:r>
              <w:rPr>
                <w:b w:val="false"/>
                <w:bCs w:val="false"/>
              </w:rPr>
              <w:t xml:space="preserve">M2</w:t>
            </w:r>
          </w:p>
        </w:tc>
      </w:tr>
    </w:tbl>
    <w:p>
      <w:pPr>
        <w:pStyle w:val="Heading1"/>
        <w:spacing w:after="160" w:before="360"/>
      </w:pPr>
      <w:r>
        <w:t xml:space="preserve">2. Scope and Methodology</w:t>
      </w:r>
    </w:p>
    <w:p>
      <w:pPr>
        <w:pStyle w:val="Heading2"/>
        <w:spacing w:after="120" w:before="260"/>
      </w:pPr>
      <w:r>
        <w:t xml:space="preserve">2.1 Scope</w:t>
      </w:r>
    </w:p>
    <w:p>
      <w:pPr>
        <w:pStyle w:val="ListParagraph"/>
        <w:numPr>
          <w:ilvl w:val="0"/>
          <w:numId w:val="2"/>
        </w:numPr>
        <w:spacing w:after="80"/>
      </w:pPr>
      <w:r>
        <w:t xml:space="preserve">Web application: https://medirozahospital.com (patient portal, staff/admin login, and any linked resources discovered during testing)</w:t>
      </w:r>
    </w:p>
    <w:p>
      <w:pPr>
        <w:pStyle w:val="ListParagraph"/>
        <w:numPr>
          <w:ilvl w:val="0"/>
          <w:numId w:val="2"/>
        </w:numPr>
        <w:spacing w:after="80"/>
      </w:pPr>
      <w:r>
        <w:t xml:space="preserve">In-scope activities: reconnaissance, authentication testing, directory/file enumeration, credential attacks against the login form, and cracking of any encrypted files retrieved during testing</w:t>
      </w:r>
    </w:p>
    <w:p>
      <w:pPr>
        <w:pStyle w:val="ListParagraph"/>
        <w:numPr>
          <w:ilvl w:val="0"/>
          <w:numId w:val="2"/>
        </w:numPr>
        <w:spacing w:after="80"/>
      </w:pPr>
      <w:r>
        <w:t xml:space="preserve">Out of scope: denial-of-service testing, social engineering of staff, and any systems not resolving to the medirozahospital.com domain</w:t>
      </w:r>
    </w:p>
    <w:p>
      <w:pPr>
        <w:pStyle w:val="Heading2"/>
        <w:spacing w:after="120" w:before="260"/>
      </w:pPr>
      <w:r>
        <w:t xml:space="preserve">2.2 Methodology</w:t>
      </w:r>
    </w:p>
    <w:p>
      <w:pPr>
        <w:spacing w:after="160"/>
      </w:pPr>
      <w:r>
        <w:t xml:space="preserve">Testing followed a standard black-box web application methodology: reconnaissance and content discovery, analysis of the authentication mechanism, controlled brute-force/credential testing of the login form, extraction and offline cracking of protected files, and a final review of all retrieved data for further exposures. This mirrors the phased approach widely used in OWASP-aligned penetration testing (recon → mapping → exploitation → post-exploitation analysis → reporting).</w:t>
      </w:r>
    </w:p>
    <w:p>
      <w:pPr>
        <w:pStyle w:val="Heading2"/>
        <w:spacing w:after="120" w:before="260"/>
      </w:pPr>
      <w:r>
        <w:t xml:space="preserve">2.3 Tools Used</w:t>
      </w:r>
    </w:p>
    <w:p>
      <w:pPr>
        <w:pStyle w:val="ListParagraph"/>
        <w:numPr>
          <w:ilvl w:val="0"/>
          <w:numId w:val="2"/>
        </w:numPr>
        <w:spacing w:after="80"/>
      </w:pPr>
      <w:r>
        <w:t xml:space="preserve">Kali Linux — testing platform</w:t>
      </w:r>
    </w:p>
    <w:p>
      <w:pPr>
        <w:pStyle w:val="ListParagraph"/>
        <w:numPr>
          <w:ilvl w:val="0"/>
          <w:numId w:val="2"/>
        </w:numPr>
        <w:spacing w:after="80"/>
      </w:pPr>
      <w:r>
        <w:t xml:space="preserve">Mozilla Firefox — manual browsing and content discovery</w:t>
      </w:r>
    </w:p>
    <w:p>
      <w:pPr>
        <w:pStyle w:val="ListParagraph"/>
        <w:numPr>
          <w:ilvl w:val="0"/>
          <w:numId w:val="2"/>
        </w:numPr>
        <w:spacing w:after="80"/>
      </w:pPr>
      <w:r>
        <w:t xml:space="preserve">Burp Suite Professional (Proxy, Repeater, Intruder) — request interception and automated credential (Sniper) attacks against login.php</w:t>
      </w:r>
    </w:p>
    <w:p>
      <w:pPr>
        <w:pStyle w:val="ListParagraph"/>
        <w:numPr>
          <w:ilvl w:val="0"/>
          <w:numId w:val="2"/>
        </w:numPr>
        <w:spacing w:after="80"/>
      </w:pPr>
      <w:r>
        <w:t xml:space="preserve">Networkwalks Hash Calculator — extraction of crackable password hashes from encrypted PDF files (pdf2john/hashcat-compatible format)</w:t>
      </w:r>
    </w:p>
    <w:p>
      <w:pPr>
        <w:pStyle w:val="ListParagraph"/>
        <w:numPr>
          <w:ilvl w:val="0"/>
          <w:numId w:val="2"/>
        </w:numPr>
        <w:spacing w:after="80"/>
      </w:pPr>
      <w:r>
        <w:t xml:space="preserve">Networkwalks Password Cracker — dictionary attack engine used to recover PDF passwords</w:t>
      </w:r>
    </w:p>
    <w:p>
      <w:pPr>
        <w:pStyle w:val="Heading2"/>
        <w:spacing w:after="120" w:before="260"/>
      </w:pPr>
      <w:r>
        <w:t xml:space="preserve">2.4 Limitations</w:t>
      </w:r>
    </w:p>
    <w:p>
      <w:pPr>
        <w:spacing w:after="160"/>
      </w:pPr>
      <w:r>
        <w:t xml:space="preserve">This was a time-boxed, black-box assessment. No source code review or internal network testing was performed. Findings are limited to what was reachable and observable from an external, unauthenticated (and subsequently low-privilege authenticated) vantage point.</w:t>
      </w:r>
    </w:p>
    <w:p>
      <w:pPr>
        <w:pStyle w:val="Heading1"/>
        <w:spacing w:after="160" w:before="360"/>
      </w:pPr>
      <w:r>
        <w:t xml:space="preserve">3. Findings and Proof of Exploitation</w:t>
      </w:r>
    </w:p>
    <w:p>
      <w:pPr>
        <w:pStyle w:val="Heading2"/>
        <w:spacing w:after="120" w:before="320"/>
      </w:pPr>
      <w:r>
        <w:t xml:space="preserve">F1 — Sensitive Database Backup Publicly Exposed (Critical)</w:t>
      </w:r>
    </w:p>
    <w:p>
      <w:pPr>
        <w:spacing w:after="160"/>
      </w:pPr>
      <w:r>
        <w:rPr>
          <w:b/>
          <w:bCs/>
        </w:rPr>
        <w:t xml:space="preserve">Severity: </w:t>
      </w:r>
      <w:r>
        <w:rPr>
          <w:b/>
          <w:bCs/>
          <w:color w:val="7B241C"/>
        </w:rPr>
        <w:t xml:space="preserve">Critical    </w:t>
      </w:r>
      <w:r>
        <w:rPr>
          <w:b/>
          <w:bCs/>
        </w:rPr>
        <w:t xml:space="preserve">Category: </w:t>
      </w:r>
      <w:r>
        <w:t xml:space="preserve">Sensitive Data Exposure / Broken Access Control</w:t>
      </w:r>
    </w:p>
    <w:p>
      <w:pPr>
        <w:spacing w:after="160"/>
      </w:pPr>
      <w:r>
        <w:t xml:space="preserve">While enumerating exposed paths discovered through the patient portal's directory listing (see F2), the tester identified a /old/ directory at the web root that was also browsable and contained a single file, mediroza_db_backup_2019.sql. The file was not access-restricted in any way and downloaded successfully with no authentication.</w:t>
      </w:r>
    </w:p>
    <w:p>
      <w:pPr>
        <w:spacing w:after="160"/>
      </w:pPr>
      <w:r>
        <w:t xml:space="preserve">The backup is a full, unencrypted MySQL dump of the hospital's internal HR database, mediroza_hr. It contains two tables:</w:t>
      </w:r>
    </w:p>
    <w:p>
      <w:pPr>
        <w:pStyle w:val="ListParagraph"/>
        <w:numPr>
          <w:ilvl w:val="0"/>
          <w:numId w:val="2"/>
        </w:numPr>
        <w:spacing w:after="80"/>
      </w:pPr>
      <w:r>
        <w:t xml:space="preserve">staff — 30 records including full name, job title, department, work email, phone number, national ID number, monthly salary (ZAR), and date joined for every hospital employee, from consultants and department heads to administrative and support staff.</w:t>
      </w:r>
    </w:p>
    <w:p>
      <w:pPr>
        <w:pStyle w:val="ListParagraph"/>
        <w:numPr>
          <w:ilvl w:val="0"/>
          <w:numId w:val="2"/>
        </w:numPr>
        <w:spacing w:after="80"/>
      </w:pPr>
      <w:r>
        <w:t xml:space="preserve">shareholders — 10 records detailing each shareholder's name, shareholding percentage, number of shares held, and share class (Ordinary/Preferential), fully reconstructing the hospital's ownership structure.</w:t>
      </w:r>
    </w:p>
    <w:p>
      <w:pPr>
        <w:spacing w:after="160"/>
      </w:pPr>
      <w:r>
        <w:t xml:space="preserve">This single file satisfies both tasks required for Milestone 3 (staff salaries and shareholder details) and, on its own, constitutes a severe breach of employee privacy and confidential corporate ownership data. Because the dump also reveals internal database and table naming conventions, it materially assists further attacks against the live application.</w:t>
      </w:r>
    </w:p>
    <w:p>
      <w:pPr>
        <w:spacing w:after="160"/>
      </w:pPr>
      <w:r>
        <w:t xml:space="preserve">Evidence: directory listing of /old/ showing the single exposed file; contents of the SQL dump showing the staff and shareholders CREATE TABLE / INSERT statements (illustrative excerpt, most identifiers masked for this report):</w:t>
      </w:r>
    </w:p>
    <w:p>
      <w:pPr>
        <w:pStyle w:val="ListParagraph"/>
        <w:numPr>
          <w:ilvl w:val="0"/>
          <w:numId w:val="2"/>
        </w:numPr>
        <w:spacing w:after="80"/>
      </w:pPr>
      <w:r>
        <w:t xml:space="preserve">staff: (1, 'Dr. Rajesh Naidoo', 'Chief Pathologist', 'Diagnostics Lab', 'r.naidoo@medirozahospital.com', '+27 82 1** ****', '85021******81', 138000, '2009-03-16'), … 30 rows total</w:t>
      </w:r>
    </w:p>
    <w:p>
      <w:pPr>
        <w:pStyle w:val="ListParagraph"/>
        <w:numPr>
          <w:ilvl w:val="0"/>
          <w:numId w:val="2"/>
        </w:numPr>
        <w:spacing w:after="80"/>
      </w:pPr>
      <w:r>
        <w:t xml:space="preserve">shareholders: (1, 'Dr. Rajesh Naidoo', 18.0%, 180000 shares, 'Ordinary'), (2, 'Cedar Health Holdings (Pty) Ltd', 15.0%, 150000 shares, 'Ordinary'), … 10 rows total</w:t>
      </w:r>
    </w:p>
    <w:p>
      <w:pPr>
        <w:spacing w:after="60" w:before="120"/>
        <w:jc w:val="center"/>
      </w:pPr>
      <w:r>
        <w:drawing>
          <wp:inline distT="0" distB="0" distL="0" distR="0">
            <wp:extent cx="53340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38250"/>
                    </a:xfrm>
                    <a:prstGeom prst="rect">
                      <a:avLst/>
                    </a:prstGeom>
                  </pic:spPr>
                </pic:pic>
              </a:graphicData>
            </a:graphic>
          </wp:inline>
        </w:drawing>
      </w:r>
    </w:p>
    <w:p>
      <w:pPr>
        <w:spacing w:after="200"/>
        <w:jc w:val="center"/>
      </w:pPr>
      <w:r>
        <w:rPr>
          <w:i/>
          <w:iCs/>
          <w:color w:val="6B7280"/>
          <w:sz w:val="18"/>
          <w:szCs w:val="18"/>
        </w:rPr>
        <w:t xml:space="preserve">Exhibit F1-1 — Directory listing of /old/ exposing mediroza_db_backup_2019.sql, publicly accessible with no authentication</w:t>
      </w:r>
    </w:p>
    <w:p>
      <w:pPr>
        <w:spacing w:after="60" w:before="12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38475"/>
                    </a:xfrm>
                    <a:prstGeom prst="rect">
                      <a:avLst/>
                    </a:prstGeom>
                  </pic:spPr>
                </pic:pic>
              </a:graphicData>
            </a:graphic>
          </wp:inline>
        </w:drawing>
      </w:r>
    </w:p>
    <w:p>
      <w:pPr>
        <w:spacing w:after="200"/>
        <w:jc w:val="center"/>
      </w:pPr>
      <w:r>
        <w:rPr>
          <w:i/>
          <w:iCs/>
          <w:color w:val="6B7280"/>
          <w:sz w:val="18"/>
          <w:szCs w:val="18"/>
        </w:rPr>
        <w:t xml:space="preserve">Exhibit F1-2 — Contents of mediroza_db_backup_2019.sql: full `staff` table dump (30 employees) with names, roles, contact details, national ID numbers, and salaries</w:t>
      </w:r>
    </w:p>
    <w:p>
      <w:pPr>
        <w:spacing w:after="60" w:before="120"/>
        <w:jc w:val="center"/>
      </w:pPr>
      <w:r>
        <w:drawing>
          <wp:inline distT="0" distB="0" distL="0" distR="0">
            <wp:extent cx="5334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14500"/>
                    </a:xfrm>
                    <a:prstGeom prst="rect">
                      <a:avLst/>
                    </a:prstGeom>
                  </pic:spPr>
                </pic:pic>
              </a:graphicData>
            </a:graphic>
          </wp:inline>
        </w:drawing>
      </w:r>
    </w:p>
    <w:p>
      <w:pPr>
        <w:spacing w:after="200"/>
        <w:jc w:val="center"/>
      </w:pPr>
      <w:r>
        <w:rPr>
          <w:i/>
          <w:iCs/>
          <w:color w:val="6B7280"/>
          <w:sz w:val="18"/>
          <w:szCs w:val="18"/>
        </w:rPr>
        <w:t xml:space="preserve">Exhibit F1-3 — Contents of mediroza_db_backup_2019.sql: full `shareholders` table dump, revealing the hospital's complete ownership structure</w:t>
      </w:r>
    </w:p>
    <w:p>
      <w:pPr>
        <w:pStyle w:val="Heading2"/>
        <w:spacing w:after="120" w:before="320"/>
      </w:pPr>
      <w:r>
        <w:t xml:space="preserve">F2 — Directory Listing Enabled on Web Root Paths (High)</w:t>
      </w:r>
    </w:p>
    <w:p>
      <w:pPr>
        <w:spacing w:after="160"/>
      </w:pPr>
      <w:r>
        <w:rPr>
          <w:b/>
          <w:bCs/>
        </w:rPr>
        <w:t xml:space="preserve">Severity: </w:t>
      </w:r>
      <w:r>
        <w:rPr>
          <w:b/>
          <w:bCs/>
          <w:color w:val="B03A2E"/>
        </w:rPr>
        <w:t xml:space="preserve">High    </w:t>
      </w:r>
      <w:r>
        <w:rPr>
          <w:b/>
          <w:bCs/>
        </w:rPr>
        <w:t xml:space="preserve">Category: </w:t>
      </w:r>
      <w:r>
        <w:t xml:space="preserve">Security Misconfiguration</w:t>
      </w:r>
    </w:p>
    <w:p>
      <w:pPr>
        <w:spacing w:after="160"/>
      </w:pPr>
      <w:r>
        <w:t xml:space="preserve">Requesting the /patient/ path directly (e.g. medirozahospital.com/patient/?id=2 without a valid resource) returned a full directory index rather than a 403/404 error. This exposed the presence and names of every server-side script in the folder — download.php, login.php, logout.php, portal.php — as well as a reports subdirectory and a 242 KB error_log file, none of which are intended for public disclosure.</w:t>
      </w:r>
    </w:p>
    <w:p>
      <w:pPr>
        <w:spacing w:after="160"/>
      </w:pPr>
      <w:r>
        <w:t xml:space="preserve">The same misconfiguration on /old/ was the direct enabler of Finding F1. Directory listing removes the obscurity an attacker would otherwise need to overcome and turns any forgotten or legacy file left in the web root into a guaranteed disclosure.</w:t>
      </w:r>
    </w:p>
    <w:p>
      <w:pPr>
        <w:spacing w:after="160"/>
      </w:pPr>
      <w:r>
        <w:t xml:space="preserve">Evidence: browser screenshots of 'Index of /patient/' and 'Index of /old/' returned directly by the LiteSpeed web server with no authentication required.</w:t>
      </w:r>
    </w:p>
    <w:p>
      <w:pPr>
        <w:spacing w:after="60" w:before="120"/>
        <w:jc w:val="center"/>
      </w:pPr>
      <w:r>
        <w:drawing>
          <wp:inline distT="0" distB="0" distL="0" distR="0">
            <wp:extent cx="5334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14525"/>
                    </a:xfrm>
                    <a:prstGeom prst="rect">
                      <a:avLst/>
                    </a:prstGeom>
                  </pic:spPr>
                </pic:pic>
              </a:graphicData>
            </a:graphic>
          </wp:inline>
        </w:drawing>
      </w:r>
    </w:p>
    <w:p>
      <w:pPr>
        <w:spacing w:after="200"/>
        <w:jc w:val="center"/>
      </w:pPr>
      <w:r>
        <w:rPr>
          <w:i/>
          <w:iCs/>
          <w:color w:val="6B7280"/>
          <w:sz w:val="18"/>
          <w:szCs w:val="18"/>
        </w:rPr>
        <w:t xml:space="preserve">Exhibit F2-1 — Directory listing of /patient/, exposing application script names (download.php, login.php, portal.php) and a 242 KB error_log file</w:t>
      </w:r>
    </w:p>
    <w:p>
      <w:pPr>
        <w:pStyle w:val="Heading2"/>
        <w:spacing w:after="120" w:before="320"/>
      </w:pPr>
      <w:r>
        <w:t xml:space="preserve">F3 — No Rate-Limiting or Account Lockout on Login Form (High)</w:t>
      </w:r>
    </w:p>
    <w:p>
      <w:pPr>
        <w:spacing w:after="160"/>
      </w:pPr>
      <w:r>
        <w:rPr>
          <w:b/>
          <w:bCs/>
        </w:rPr>
        <w:t xml:space="preserve">Severity: </w:t>
      </w:r>
      <w:r>
        <w:rPr>
          <w:b/>
          <w:bCs/>
          <w:color w:val="B03A2E"/>
        </w:rPr>
        <w:t xml:space="preserve">High    </w:t>
      </w:r>
      <w:r>
        <w:rPr>
          <w:b/>
          <w:bCs/>
        </w:rPr>
        <w:t xml:space="preserve">Category: </w:t>
      </w:r>
      <w:r>
        <w:t xml:space="preserve">Broken Authentication</w:t>
      </w:r>
    </w:p>
    <w:p>
      <w:pPr>
        <w:spacing w:after="160"/>
      </w:pPr>
      <w:r>
        <w:t xml:space="preserve">The patient/staff login endpoint (POST /patient/login.php) accepts username and password parameters and returns an HTTP 302 redirect to portal.php on success, or an empty 200/redirect response on failure, with no CAPTCHA, delay, or lockout after repeated failed attempts.</w:t>
      </w:r>
    </w:p>
    <w:p>
      <w:pPr>
        <w:spacing w:after="160"/>
      </w:pPr>
      <w:r>
        <w:t xml:space="preserve">Using Burp Suite Intruder in Sniper mode against the password parameter with the username fixed at 'admin', a candidate password list of 222 entries was submitted with no blocking, throttling, or account lockout observed at any point. Filtering the results for HTTP 302 (successful redirect) responses identified a working credential pair, allowing full authentication to the patient portal as an administrative/staff-equivalent account.</w:t>
      </w:r>
    </w:p>
    <w:p>
      <w:pPr>
        <w:spacing w:after="160"/>
      </w:pPr>
      <w:r>
        <w:t xml:space="preserve">Evidence: Burp Intruder attack log showing 222 requests sent, three positive (302) responses returned during list exploration/validation, and the Repeater request/response pair confirming username=admin with the recovered password returning a 302 redirect to Location: portal.php.</w:t>
      </w:r>
    </w:p>
    <w:p>
      <w:pPr>
        <w:spacing w:after="160"/>
      </w:pPr>
      <w:r>
        <w:t xml:space="preserve">Note: the specific password value is withheld from this written report per standard secure-reporting practice and was communicated to the client separately/verbally; it is recommended the client rotate this credential immediately regardless.</w:t>
      </w:r>
    </w:p>
    <w:p>
      <w:pPr>
        <w:pStyle w:val="Heading2"/>
        <w:spacing w:after="120" w:before="320"/>
      </w:pPr>
      <w:r>
        <w:t xml:space="preserve">F4 — Weak, Dictionary-Crackable Passwords on Confidential PDF Reports (Medium)</w:t>
      </w:r>
    </w:p>
    <w:p>
      <w:pPr>
        <w:spacing w:after="160"/>
      </w:pPr>
      <w:r>
        <w:rPr>
          <w:b/>
          <w:bCs/>
        </w:rPr>
        <w:t xml:space="preserve">Severity: </w:t>
      </w:r>
      <w:r>
        <w:rPr>
          <w:b/>
          <w:bCs/>
          <w:color w:val="C08A1E"/>
        </w:rPr>
        <w:t xml:space="preserve">Medium    </w:t>
      </w:r>
      <w:r>
        <w:rPr>
          <w:b/>
          <w:bCs/>
        </w:rPr>
        <w:t xml:space="preserve">Category: </w:t>
      </w:r>
      <w:r>
        <w:t xml:space="preserve">Weak Cryptographic Protection / Weak Password Policy</w:t>
      </w:r>
    </w:p>
    <w:p>
      <w:pPr>
        <w:spacing w:after="160"/>
      </w:pPr>
      <w:r>
        <w:t xml:space="preserve">After authenticating to the portal (F3), three password-protected pathology PDF lab reports were available for download from the 'My lab reports' page (Pathology Report - S. Dlamini, P. Reddy, and E. Thompson). Each PDF uses standard PDF encryption (Revision 3, Version 2, 128-bit RC4 key), which is crackable offline once the file is obtained.</w:t>
      </w:r>
    </w:p>
    <w:p>
      <w:pPr>
        <w:spacing w:after="160"/>
      </w:pPr>
      <w:r>
        <w:t xml:space="preserve">A crackable hash was extracted from each PDF and run through a dictionary attack. All three passwords were recovered in well under a minute of automated guessing, each using a common or easily-guessable value rather than a strong, per-patient generated password:</w:t>
      </w:r>
    </w:p>
    <w:p>
      <w:pPr>
        <w:pStyle w:val="ListParagraph"/>
        <w:numPr>
          <w:ilvl w:val="0"/>
          <w:numId w:val="2"/>
        </w:numPr>
        <w:spacing w:after="80"/>
      </w:pPr>
      <w:r>
        <w:t xml:space="preserve">Pathology Report - S. Dlamini (LR-2024-1187): password recovered on the 1st guess — a common six-digit numeric string</w:t>
      </w:r>
    </w:p>
    <w:p>
      <w:pPr>
        <w:pStyle w:val="ListParagraph"/>
        <w:numPr>
          <w:ilvl w:val="0"/>
          <w:numId w:val="2"/>
        </w:numPr>
        <w:spacing w:after="80"/>
      </w:pPr>
      <w:r>
        <w:t xml:space="preserve">Pathology Report - P. Reddy (LR-2024-1192): password recovered on the 2nd guess — a well-known dictionary word</w:t>
      </w:r>
    </w:p>
    <w:p>
      <w:pPr>
        <w:pStyle w:val="ListParagraph"/>
        <w:numPr>
          <w:ilvl w:val="0"/>
          <w:numId w:val="2"/>
        </w:numPr>
        <w:spacing w:after="80"/>
      </w:pPr>
      <w:r>
        <w:t xml:space="preserve">Pathology Report - E. Thompson (LR-2024-1205): password recovered after 3,546 of 3,556 attempts — a short symbol string, still within a small custom character-set dictionary</w:t>
      </w:r>
    </w:p>
    <w:p>
      <w:pPr>
        <w:spacing w:after="160"/>
      </w:pPr>
      <w:r>
        <w:t xml:space="preserve">Once opened, each PDF confirmed to be a genuine, unredacted pathology laboratory report containing the patient's full name, date of birth, patient ID, referring doctor, specimen type, and individual lab test results with reference ranges and abnormal-result flags — highly sensitive personal health information under most data-protection regimes (e.g. POPIA in South Africa).</w:t>
      </w:r>
    </w:p>
    <w:p>
      <w:pPr>
        <w:spacing w:after="160"/>
      </w:pPr>
      <w:r>
        <w:t xml:space="preserve">Evidence: hash extraction and cracking-tool output for each file, and the full decrypted content of each PDF below, confirming successful compromise and disclosure of patient health data.</w:t>
      </w:r>
    </w:p>
    <w:p>
      <w:pPr>
        <w:spacing w:after="60" w:before="12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409825"/>
                    </a:xfrm>
                    <a:prstGeom prst="rect">
                      <a:avLst/>
                    </a:prstGeom>
                  </pic:spPr>
                </pic:pic>
              </a:graphicData>
            </a:graphic>
          </wp:inline>
        </w:drawing>
      </w:r>
    </w:p>
    <w:p>
      <w:pPr>
        <w:spacing w:after="200"/>
        <w:jc w:val="center"/>
      </w:pPr>
      <w:r>
        <w:rPr>
          <w:i/>
          <w:iCs/>
          <w:color w:val="6B7280"/>
          <w:sz w:val="18"/>
          <w:szCs w:val="18"/>
        </w:rPr>
        <w:t xml:space="preserve">Exhibit F4-1 — Decrypted Pathology Report, Patient: Sipho Dlamini (Lab Ref LR-2024-1187), password recovered: "123456"</w:t>
      </w:r>
    </w:p>
    <w:p>
      <w:pPr>
        <w:spacing w:after="60" w:before="12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09825"/>
                    </a:xfrm>
                    <a:prstGeom prst="rect">
                      <a:avLst/>
                    </a:prstGeom>
                  </pic:spPr>
                </pic:pic>
              </a:graphicData>
            </a:graphic>
          </wp:inline>
        </w:drawing>
      </w:r>
    </w:p>
    <w:p>
      <w:pPr>
        <w:spacing w:after="200"/>
        <w:jc w:val="center"/>
      </w:pPr>
      <w:r>
        <w:rPr>
          <w:i/>
          <w:iCs/>
          <w:color w:val="6B7280"/>
          <w:sz w:val="18"/>
          <w:szCs w:val="18"/>
        </w:rPr>
        <w:t xml:space="preserve">Exhibit F4-2 — Decrypted Pathology Report, Patient: Priya Reddy (Lab Ref LR-2024-1192), password recovered: "password"</w:t>
      </w:r>
    </w:p>
    <w:p>
      <w:pPr>
        <w:spacing w:after="60" w:before="12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09825"/>
                    </a:xfrm>
                    <a:prstGeom prst="rect">
                      <a:avLst/>
                    </a:prstGeom>
                  </pic:spPr>
                </pic:pic>
              </a:graphicData>
            </a:graphic>
          </wp:inline>
        </w:drawing>
      </w:r>
    </w:p>
    <w:p>
      <w:pPr>
        <w:spacing w:after="200"/>
        <w:jc w:val="center"/>
      </w:pPr>
      <w:r>
        <w:rPr>
          <w:i/>
          <w:iCs/>
          <w:color w:val="6B7280"/>
          <w:sz w:val="18"/>
          <w:szCs w:val="18"/>
        </w:rPr>
        <w:t xml:space="preserve">Exhibit F4-3 — Decrypted Pathology Report, Patient: Emily Thompson (Lab Ref LR-2024-1205), password recovered: "!@#$%^&amp;"</w:t>
      </w:r>
    </w:p>
    <w:p>
      <w:pPr>
        <w:pStyle w:val="Heading1"/>
        <w:spacing w:after="160" w:before="360"/>
      </w:pPr>
      <w:r>
        <w:t xml:space="preserve">4. Risk Rating</w:t>
      </w:r>
    </w:p>
    <w:p>
      <w:pPr>
        <w:spacing w:after="160"/>
      </w:pPr>
      <w:r>
        <w:t xml:space="preserve">Each finding was rated using a CVSS 3.1-aligned qualitative scale, considering ease of exploitation, privileges required, and the sensitivity/impact of the data or access exposed.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6800"/>
      </w:tblGrid>
      <w:tr>
        <w:trPr>
          <w:tblHeader/>
        </w:trPr>
        <w:tc>
          <w:tcPr>
            <w:tcW w:type="dxa" w:w="1600"/>
            <w:shd w:fill="1F3B57" w:color="auto" w:val="clear"/>
            <w:vAlign w:val="center"/>
          </w:tcPr>
          <w:p>
            <w:r>
              <w:rPr>
                <w:b/>
                <w:bCs/>
              </w:rPr>
              <w:t xml:space="preserve">Rating</w:t>
            </w:r>
          </w:p>
        </w:tc>
        <w:tc>
          <w:tcPr>
            <w:tcW w:type="dxa" w:w="6800"/>
            <w:shd w:fill="1F3B57" w:color="auto" w:val="clear"/>
            <w:vAlign w:val="center"/>
          </w:tcPr>
          <w:p>
            <w:r>
              <w:rPr>
                <w:b/>
                <w:bCs/>
              </w:rPr>
              <w:t xml:space="preserve">Criteria</w:t>
            </w:r>
          </w:p>
        </w:tc>
      </w:tr>
      <w:tr>
        <w:tc>
          <w:tcPr>
            <w:tcW w:type="dxa" w:w="1600"/>
            <w:shd w:fill="7B241C" w:color="auto" w:val="clear"/>
            <w:vAlign w:val="center"/>
          </w:tcPr>
          <w:p>
            <w:pPr>
              <w:jc w:val="center"/>
            </w:pPr>
            <w:r>
              <w:rPr>
                <w:b/>
                <w:bCs/>
                <w:color w:val="FFFFFF"/>
              </w:rPr>
              <w:t xml:space="preserve">Critical</w:t>
            </w:r>
          </w:p>
        </w:tc>
        <w:tc>
          <w:tcPr>
            <w:tcW w:type="dxa" w:w="6800"/>
            <w:vAlign w:val="center"/>
          </w:tcPr>
          <w:p>
            <w:r>
              <w:rPr>
                <w:b w:val="false"/>
                <w:bCs w:val="false"/>
              </w:rPr>
              <w:t xml:space="preserve">Unauthenticated, trivial exploitation leading to large-scale disclosure of highly sensitive personal or corporate data.</w:t>
            </w:r>
          </w:p>
        </w:tc>
      </w:tr>
      <w:tr>
        <w:tc>
          <w:tcPr>
            <w:tcW w:type="dxa" w:w="1600"/>
            <w:shd w:fill="B03A2E" w:color="auto" w:val="clear"/>
            <w:vAlign w:val="center"/>
          </w:tcPr>
          <w:p>
            <w:pPr>
              <w:jc w:val="center"/>
            </w:pPr>
            <w:r>
              <w:rPr>
                <w:b/>
                <w:bCs/>
                <w:color w:val="FFFFFF"/>
              </w:rPr>
              <w:t xml:space="preserve">High</w:t>
            </w:r>
          </w:p>
        </w:tc>
        <w:tc>
          <w:tcPr>
            <w:tcW w:type="dxa" w:w="6800"/>
            <w:vAlign w:val="center"/>
          </w:tcPr>
          <w:p>
            <w:r>
              <w:rPr>
                <w:b w:val="false"/>
                <w:bCs w:val="false"/>
              </w:rPr>
              <w:t xml:space="preserve">Exploitable with modest effort/tooling; leads to unauthorised access or significant information disclosure.</w:t>
            </w:r>
          </w:p>
        </w:tc>
      </w:tr>
      <w:tr>
        <w:tc>
          <w:tcPr>
            <w:tcW w:type="dxa" w:w="1600"/>
            <w:shd w:fill="C08A1E" w:color="auto" w:val="clear"/>
            <w:vAlign w:val="center"/>
          </w:tcPr>
          <w:p>
            <w:pPr>
              <w:jc w:val="center"/>
            </w:pPr>
            <w:r>
              <w:rPr>
                <w:b/>
                <w:bCs/>
                <w:color w:val="FFFFFF"/>
              </w:rPr>
              <w:t xml:space="preserve">Medium</w:t>
            </w:r>
          </w:p>
        </w:tc>
        <w:tc>
          <w:tcPr>
            <w:tcW w:type="dxa" w:w="6800"/>
            <w:vAlign w:val="center"/>
          </w:tcPr>
          <w:p>
            <w:r>
              <w:rPr>
                <w:b w:val="false"/>
                <w:bCs w:val="false"/>
              </w:rPr>
              <w:t xml:space="preserve">Requires prior access or specific conditions; impact is limited to a subset of data or users.</w:t>
            </w:r>
          </w:p>
        </w:tc>
      </w:tr>
      <w:tr>
        <w:tc>
          <w:tcPr>
            <w:tcW w:type="dxa" w:w="1600"/>
            <w:shd w:fill="2E9B58" w:color="auto" w:val="clear"/>
            <w:vAlign w:val="center"/>
          </w:tcPr>
          <w:p>
            <w:pPr>
              <w:jc w:val="center"/>
            </w:pPr>
            <w:r>
              <w:rPr>
                <w:b/>
                <w:bCs/>
                <w:color w:val="FFFFFF"/>
              </w:rPr>
              <w:t xml:space="preserve">Low</w:t>
            </w:r>
          </w:p>
        </w:tc>
        <w:tc>
          <w:tcPr>
            <w:tcW w:type="dxa" w:w="6800"/>
            <w:vAlign w:val="center"/>
          </w:tcPr>
          <w:p>
            <w:r>
              <w:rPr>
                <w:b w:val="false"/>
                <w:bCs w:val="false"/>
              </w:rPr>
              <w:t xml:space="preserve">Minimal impact or very high exploitation complexity; primarily a hardening/best-practice item.</w:t>
            </w:r>
          </w:p>
        </w:tc>
      </w:tr>
    </w:tbl>
    <w:p>
      <w:pPr>
        <w:spacing w:after="0" w:before="240"/>
      </w:pPr>
    </w:p>
    <w:p>
      <w:pPr>
        <w:pStyle w:val="Heading2"/>
        <w:spacing w:after="120" w:before="260"/>
      </w:pPr>
      <w:r>
        <w:t xml:space="preserve">Overall Risk to Client</w:t>
      </w:r>
    </w:p>
    <w:p>
      <w:pPr>
        <w:spacing w:after="160"/>
      </w:pPr>
      <w:r>
        <w:rPr>
          <w:b/>
          <w:bCs/>
        </w:rPr>
        <w:t xml:space="preserve">The combination of F1–F4 gives an unauthenticated attacker a realistic path from simple reconnaissance to full compromise of patient confidentiality, staff PII, and shareholder data with no specialist skill or insider access required. The overall risk to Mediroza General Hospital from the issues identified in this engagement is rated CRITICAL and warrants immediate remediation.</w:t>
      </w:r>
    </w:p>
    <w:p>
      <w:pPr>
        <w:pStyle w:val="Heading1"/>
        <w:spacing w:after="160" w:before="360"/>
      </w:pPr>
      <w:r>
        <w:t xml:space="preserve">5. Recommendations and Remediation</w:t>
      </w:r>
    </w:p>
    <w:p>
      <w:pPr>
        <w:pStyle w:val="Heading2"/>
        <w:spacing w:after="120" w:before="260"/>
      </w:pPr>
      <w:r>
        <w:t xml:space="preserve">F1 — Exposed Database Backup</w:t>
      </w:r>
    </w:p>
    <w:p>
      <w:pPr>
        <w:pStyle w:val="ListParagraph"/>
        <w:numPr>
          <w:ilvl w:val="0"/>
          <w:numId w:val="2"/>
        </w:numPr>
        <w:spacing w:after="80"/>
      </w:pPr>
      <w:r>
        <w:t xml:space="preserve">Remove the /old/ directory and mediroza_db_backup_2019.sql from the production web root immediately; store backups outside the webroot and outside any publicly routable path.</w:t>
      </w:r>
    </w:p>
    <w:p>
      <w:pPr>
        <w:pStyle w:val="ListParagraph"/>
        <w:numPr>
          <w:ilvl w:val="0"/>
          <w:numId w:val="2"/>
        </w:numPr>
        <w:spacing w:after="80"/>
      </w:pPr>
      <w:r>
        <w:t xml:space="preserve">Encrypt all database backups at rest and restrict access via authenticated, logged storage (e.g. a private backup server or access-controlled object storage).</w:t>
      </w:r>
    </w:p>
    <w:p>
      <w:pPr>
        <w:pStyle w:val="ListParagraph"/>
        <w:numPr>
          <w:ilvl w:val="0"/>
          <w:numId w:val="2"/>
        </w:numPr>
        <w:spacing w:after="80"/>
      </w:pPr>
      <w:r>
        <w:t xml:space="preserve">Audit the web root for any other legacy/backup files (.sql, .bak, .zip, .old) and remove them.</w:t>
      </w:r>
    </w:p>
    <w:p>
      <w:pPr>
        <w:pStyle w:val="ListParagraph"/>
        <w:numPr>
          <w:ilvl w:val="0"/>
          <w:numId w:val="2"/>
        </w:numPr>
        <w:spacing w:after="80"/>
      </w:pPr>
      <w:r>
        <w:t xml:space="preserve">Notify affected staff and shareholders and assess breach-notification obligations under POPIA.</w:t>
      </w:r>
    </w:p>
    <w:p>
      <w:pPr>
        <w:pStyle w:val="Heading2"/>
        <w:spacing w:after="120" w:before="260"/>
      </w:pPr>
      <w:r>
        <w:t xml:space="preserve">F2 — Directory Listing Enabled</w:t>
      </w:r>
    </w:p>
    <w:p>
      <w:pPr>
        <w:pStyle w:val="ListParagraph"/>
        <w:numPr>
          <w:ilvl w:val="0"/>
          <w:numId w:val="2"/>
        </w:numPr>
        <w:spacing w:after="80"/>
      </w:pPr>
      <w:r>
        <w:t xml:space="preserve">Disable directory indexing at the web server level (LiteSpeed: Options -Indexes, or the equivalent AutoIndex directive) for all directories.</w:t>
      </w:r>
    </w:p>
    <w:p>
      <w:pPr>
        <w:pStyle w:val="ListParagraph"/>
        <w:numPr>
          <w:ilvl w:val="0"/>
          <w:numId w:val="2"/>
        </w:numPr>
        <w:spacing w:after="80"/>
      </w:pPr>
      <w:r>
        <w:t xml:space="preserve">Add default index.php/index.html placeholder files to every directory as defence in depth.</w:t>
      </w:r>
    </w:p>
    <w:p>
      <w:pPr>
        <w:pStyle w:val="ListParagraph"/>
        <w:numPr>
          <w:ilvl w:val="0"/>
          <w:numId w:val="2"/>
        </w:numPr>
        <w:spacing w:after="80"/>
      </w:pPr>
      <w:r>
        <w:t xml:space="preserve">Review error_log exposure and relocate application logs outside the web root.</w:t>
      </w:r>
    </w:p>
    <w:p>
      <w:pPr>
        <w:pStyle w:val="Heading2"/>
        <w:spacing w:after="120" w:before="260"/>
      </w:pPr>
      <w:r>
        <w:t xml:space="preserve">F3 — No Login Rate-Limiting</w:t>
      </w:r>
    </w:p>
    <w:p>
      <w:pPr>
        <w:pStyle w:val="ListParagraph"/>
        <w:numPr>
          <w:ilvl w:val="0"/>
          <w:numId w:val="2"/>
        </w:numPr>
        <w:spacing w:after="80"/>
      </w:pPr>
      <w:r>
        <w:t xml:space="preserve">Implement account lockout or exponential back-off after a small number of failed login attempts (e.g. 5 attempts, then a time-based lockout).</w:t>
      </w:r>
    </w:p>
    <w:p>
      <w:pPr>
        <w:pStyle w:val="ListParagraph"/>
        <w:numPr>
          <w:ilvl w:val="0"/>
          <w:numId w:val="2"/>
        </w:numPr>
        <w:spacing w:after="80"/>
      </w:pPr>
      <w:r>
        <w:t xml:space="preserve">Add CAPTCHA or an equivalent bot-mitigation control to the login form.</w:t>
      </w:r>
    </w:p>
    <w:p>
      <w:pPr>
        <w:pStyle w:val="ListParagraph"/>
        <w:numPr>
          <w:ilvl w:val="0"/>
          <w:numId w:val="2"/>
        </w:numPr>
        <w:spacing w:after="80"/>
      </w:pPr>
      <w:r>
        <w:t xml:space="preserve">Enforce a strong password policy for all administrative and staff accounts, and rotate the admin credential identified during this test immediately.</w:t>
      </w:r>
    </w:p>
    <w:p>
      <w:pPr>
        <w:pStyle w:val="ListParagraph"/>
        <w:numPr>
          <w:ilvl w:val="0"/>
          <w:numId w:val="2"/>
        </w:numPr>
        <w:spacing w:after="80"/>
      </w:pPr>
      <w:r>
        <w:t xml:space="preserve">Consider multi-factor authentication for any account with access to patient or HR data.</w:t>
      </w:r>
    </w:p>
    <w:p>
      <w:pPr>
        <w:pStyle w:val="Heading2"/>
        <w:spacing w:after="120" w:before="260"/>
      </w:pPr>
      <w:r>
        <w:t xml:space="preserve">F4 — Weak PDF Passwords</w:t>
      </w:r>
    </w:p>
    <w:p>
      <w:pPr>
        <w:pStyle w:val="ListParagraph"/>
        <w:numPr>
          <w:ilvl w:val="0"/>
          <w:numId w:val="2"/>
        </w:numPr>
        <w:spacing w:after="80"/>
      </w:pPr>
      <w:r>
        <w:t xml:space="preserve">Generate a unique, high-entropy password per document (e.g. 16+ random characters) rather than reusing common words or short strings.</w:t>
      </w:r>
    </w:p>
    <w:p>
      <w:pPr>
        <w:pStyle w:val="ListParagraph"/>
        <w:numPr>
          <w:ilvl w:val="0"/>
          <w:numId w:val="2"/>
        </w:numPr>
        <w:spacing w:after="80"/>
      </w:pPr>
      <w:r>
        <w:t xml:space="preserve">Deliver document passwords to patients through a separate, verified channel (e.g. SMS/OTP) rather than a predictable or shared scheme.</w:t>
      </w:r>
    </w:p>
    <w:p>
      <w:pPr>
        <w:pStyle w:val="ListParagraph"/>
        <w:numPr>
          <w:ilvl w:val="0"/>
          <w:numId w:val="2"/>
        </w:numPr>
        <w:spacing w:after="80"/>
      </w:pPr>
      <w:r>
        <w:t xml:space="preserve">Consider replacing password-based PDF protection with authenticated, per-user access control on the portal itself, so decryption does not rely on password strength alone.</w:t>
      </w:r>
    </w:p>
    <w:p>
      <w:pPr>
        <w:pStyle w:val="Heading2"/>
        <w:spacing w:after="120" w:before="260"/>
      </w:pPr>
      <w:r>
        <w:t xml:space="preserve">General</w:t>
      </w:r>
    </w:p>
    <w:p>
      <w:pPr>
        <w:pStyle w:val="ListParagraph"/>
        <w:numPr>
          <w:ilvl w:val="0"/>
          <w:numId w:val="2"/>
        </w:numPr>
        <w:spacing w:after="80"/>
      </w:pPr>
      <w:r>
        <w:t xml:space="preserve">Conduct a follow-up retest once remediation is complete to confirm all findings are resolved.</w:t>
      </w:r>
    </w:p>
    <w:p>
      <w:pPr>
        <w:pStyle w:val="ListParagraph"/>
        <w:numPr>
          <w:ilvl w:val="0"/>
          <w:numId w:val="2"/>
        </w:numPr>
        <w:spacing w:after="80"/>
      </w:pPr>
      <w:r>
        <w:t xml:space="preserve">Establish a routine (e.g. quarterly) external penetration test and a process for removing stale files from production environments.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Mediroza General Hospital — Penetration Test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B57"/>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3B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f386ce67e83ee02a38665f54af9483eac062e5.jpg"/><Relationship Id="rId10" Type="http://schemas.openxmlformats.org/officeDocument/2006/relationships/image" Target="media/170fc85d3fc3b036a708b0759b45f1e366840013.jpg"/><Relationship Id="rId11" Type="http://schemas.openxmlformats.org/officeDocument/2006/relationships/image" Target="media/e78eaed492399121958c2448b20a28d711aa2c1f.jpg"/><Relationship Id="rId12" Type="http://schemas.openxmlformats.org/officeDocument/2006/relationships/image" Target="media/dc3f776dee86cb4fd4265b393af02ae130fddd7d.jpg"/><Relationship Id="rId13" Type="http://schemas.openxmlformats.org/officeDocument/2006/relationships/image" Target="media/4a75556fcfb4682854399e869307e5aa72051d82.jpg"/><Relationship Id="rId14" Type="http://schemas.openxmlformats.org/officeDocument/2006/relationships/image" Target="media/bf59d554b120053e781521c236aaaae11f40e84a.jpg"/><Relationship Id="rId15" Type="http://schemas.openxmlformats.org/officeDocument/2006/relationships/image" Target="media/22fc4de710cc49e0b29a41920d5f364e8d5fd7e1.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2026-09-07T07:07:36.617Z</dcterms:created>
  <dcterms:modified xsi:type="dcterms:W3CDTF">2026-09-07T07:07:36.625Z</dcterms:modified>
</cp:coreProperties>
</file>

<file path=docProps/custom.xml><?xml version="1.0" encoding="utf-8"?>
<Properties xmlns="http://schemas.openxmlformats.org/officeDocument/2006/custom-properties" xmlns:vt="http://schemas.openxmlformats.org/officeDocument/2006/docPropsVTypes"/>
</file>