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5.png" ContentType="image/png"/>
  <Override PartName="/word/media/rId3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w:t>
      </w:r>
      <w:r>
        <w:t xml:space="preserve"> </w:t>
      </w:r>
      <w:r>
        <w:t xml:space="preserve">of</w:t>
      </w:r>
      <w:r>
        <w:t xml:space="preserve"> </w:t>
      </w:r>
      <w:r>
        <w:t xml:space="preserve">Counts</w:t>
      </w:r>
      <w:r>
        <w:t xml:space="preserve"> </w:t>
      </w:r>
      <w:r>
        <w:t xml:space="preserve">of</w:t>
      </w:r>
      <w:r>
        <w:t xml:space="preserve"> </w:t>
      </w:r>
      <w:r>
        <w:t xml:space="preserve">Undiagnosed+Seropositive</w:t>
      </w:r>
      <w:r>
        <w:t xml:space="preserve"> </w:t>
      </w:r>
      <w:r>
        <w:t xml:space="preserve">Over</w:t>
      </w:r>
      <w:r>
        <w:t xml:space="preserve"> </w:t>
      </w:r>
      <w:r>
        <w:t xml:space="preserve">Diagnosed</w:t>
      </w:r>
    </w:p>
    <w:p>
      <w:pPr>
        <w:pStyle w:val="Author"/>
      </w:pPr>
      <w:r>
        <w:t xml:space="preserve">Michael</w:t>
      </w:r>
      <w:r>
        <w:t xml:space="preserve"> </w:t>
      </w:r>
      <w:r>
        <w:t xml:space="preserve">Fay</w:t>
      </w:r>
    </w:p>
    <w:p>
      <w:pPr>
        <w:pStyle w:val="Date"/>
      </w:pPr>
      <w:r>
        <w:t xml:space="preserve">March</w:t>
      </w:r>
      <w:r>
        <w:t xml:space="preserve"> </w:t>
      </w:r>
      <w:r>
        <w:t xml:space="preserve">26,</w:t>
      </w:r>
      <w:r>
        <w:t xml:space="preserve"> </w:t>
      </w:r>
      <w:r>
        <w:t xml:space="preserve">2021</w:t>
      </w:r>
    </w:p>
    <w:p>
      <w:pPr>
        <w:pStyle w:val="Heading2"/>
      </w:pPr>
      <w:bookmarkStart w:id="21" w:name="update-from-december-16-2020-version"/>
      <w:bookmarkEnd w:id="21"/>
      <w:r>
        <w:t xml:space="preserve">Update from December 16, 2020 version</w:t>
      </w:r>
    </w:p>
    <w:p>
      <w:pPr>
        <w:pStyle w:val="FirstParagraph"/>
      </w:pPr>
      <w:r>
        <w:t xml:space="preserve">In response to reviewers, we added estimates for regions to the last section. Also, the document was edited for clarity.</w:t>
      </w:r>
    </w:p>
    <w:p>
      <w:pPr>
        <w:pStyle w:val="Heading2"/>
      </w:pPr>
      <w:bookmarkStart w:id="22" w:name="update-from-december-13-version"/>
      <w:bookmarkEnd w:id="22"/>
      <w:r>
        <w:t xml:space="preserve">Update from December 13 Version</w:t>
      </w:r>
    </w:p>
    <w:p>
      <w:pPr>
        <w:pStyle w:val="FirstParagraph"/>
      </w:pPr>
      <w:r>
        <w:t xml:space="preserve">I added a section at the end with weighted population and diagnosed counts. I also added a plot of the weights by collection time.</w:t>
      </w:r>
    </w:p>
    <w:p>
      <w:pPr>
        <w:pStyle w:val="Heading2"/>
      </w:pPr>
      <w:bookmarkStart w:id="23" w:name="overview-ratio-of-counts"/>
      <w:bookmarkEnd w:id="23"/>
      <w:r>
        <w:t xml:space="preserve">Overview Ratio of Counts</w:t>
      </w:r>
    </w:p>
    <w:p>
      <w:pPr>
        <w:pStyle w:val="FirstParagraph"/>
      </w:pPr>
      <w:r>
        <w:t xml:space="preserve">We are interested in the ratio of the number of "undiagnosed infections" (US adults previously undiagnosed with SARS-CoV-2 infection by PCR, that are seropositive for SARS-CoV-2 antibodies)</w:t>
      </w:r>
      <w:r>
        <w:t xml:space="preserve"> </w:t>
      </w:r>
      <w:r>
        <w:t xml:space="preserve">over "diagnosed cases" (US adults previously diagnosed by PCR) during the time period of the study. Our main estimate of the paper is the rate of undiagnosed infections per total undiagnosed US adults over the study collection time. Loosely speaking, our estimate of the ratio for US adults</w:t>
      </w:r>
      <w:r>
        <w:t xml:space="preserve"> </w:t>
      </w:r>
      <w:r>
        <w:t xml:space="preserve">uses</w:t>
      </w:r>
    </w:p>
    <w:p>
      <w:pPr>
        <w:pStyle w:val="BodyText"/>
      </w:pPr>
      <m:oMathPara>
        <m:oMathParaPr>
          <m:jc m:val="center"/>
        </m:oMathParaPr>
        <m:oMath>
          <m:f>
            <m:fPr>
              <m:type m:val="bar"/>
            </m:fPr>
            <m:num>
              <m:r>
                <m:rPr>
                  <m:sty m:val="p"/>
                </m:rPr>
                <m:t>(number previously undiagnosed adults)</m:t>
              </m:r>
              <m:r>
                <m:t>×</m:t>
              </m:r>
              <m:r>
                <m:rPr>
                  <m:sty m:val="p"/>
                </m:rPr>
                <m:t>(rate of undiagnosed infections per undiagnosed adult)</m:t>
              </m:r>
            </m:num>
            <m:den>
              <m:r>
                <m:rPr>
                  <m:sty m:val="p"/>
                </m:rPr>
                <m:t>number previously diagnosed adults</m:t>
              </m:r>
            </m:den>
          </m:f>
        </m:oMath>
      </m:oMathPara>
    </w:p>
    <w:p>
      <w:pPr>
        <w:pStyle w:val="FirstParagraph"/>
      </w:pPr>
      <w:r>
        <w:t xml:space="preserve">What makes this estimator difficult is that the data are collected over a few months during which the numbers diagnosed as changing dramatically. We describe the data used to estimate the number previously diagnosed and undiagnosed at any specific date in two separate sections. Then we describe how the time element is used to get our final estimate.</w:t>
      </w:r>
    </w:p>
    <w:p>
      <w:pPr>
        <w:pStyle w:val="Heading2"/>
      </w:pPr>
      <w:bookmarkStart w:id="24" w:name="number-previously-diagnosed"/>
      <w:bookmarkEnd w:id="24"/>
      <w:r>
        <w:t xml:space="preserve">Number Previously Diagnosed</w:t>
      </w:r>
    </w:p>
    <w:p>
      <w:pPr>
        <w:pStyle w:val="FirstParagraph"/>
      </w:pPr>
      <w:r>
        <w:t xml:space="preserve">To get the total number of cumulative cases for any date during the study period, we use The COVID Tracking project (covidtracking.com), a</w:t>
      </w:r>
      <w:r>
        <w:t xml:space="preserve"> </w:t>
      </w:r>
      <w:r>
        <w:t xml:space="preserve">nd code derived from Chow et al (2020), to get, for any</w:t>
      </w:r>
      <w:r>
        <w:t xml:space="preserve"> </w:t>
      </w:r>
      <w:r>
        <w:t xml:space="preserve">date of the study, the total cumulative number of virologically-confirmed cases in the US.</w:t>
      </w:r>
      <w:r>
        <w:t xml:space="preserve"> </w:t>
      </w:r>
      <w:r>
        <w:t xml:space="preserve">Here are the total number of cumulative cases over time (in millions).</w:t>
      </w:r>
      <w:r>
        <w:t xml:space="preserve"> </w:t>
      </w:r>
      <w:r>
        <w:drawing>
          <wp:inline>
            <wp:extent cx="4620126" cy="3696101"/>
            <wp:effectExtent b="0" l="0" r="0" t="0"/>
            <wp:docPr descr="Total Cumulative Diagnosed (PCR Confirmed Cases)" title="" id="1" name="Picture"/>
            <a:graphic>
              <a:graphicData uri="http://schemas.openxmlformats.org/drawingml/2006/picture">
                <pic:pic>
                  <pic:nvPicPr>
                    <pic:cNvPr descr="Ratio-CountsV3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our analysis, we only want the adult cases. By September 19, 2020 there were 277,285 laboratory-confirmed cases of COVID-19 in children ages 5-17 (Leeb, et al, 2020).</w:t>
      </w:r>
      <w:r>
        <w:t xml:space="preserve"> </w:t>
      </w:r>
      <w:r>
        <w:t xml:space="preserve">On the same date the total number of cases was</w:t>
      </w:r>
      <w:r>
        <w:t xml:space="preserve"> </w:t>
      </w:r>
      <w:r>
        <w:t xml:space="preserve">6755233. We estimate the number of adult cases</w:t>
      </w:r>
      <w:r>
        <w:t xml:space="preserve"> </w:t>
      </w:r>
      <w:r>
        <w:t xml:space="preserve">on September 19 by subtracting off the number of ages 5-17 (ignoring cases in children under 5).</w:t>
      </w:r>
      <w:r>
        <w:t xml:space="preserve"> </w:t>
      </w:r>
      <w:r>
        <w:t xml:space="preserve">This gives 6477948, which gives the percentage of cases that</w:t>
      </w:r>
      <w:r>
        <w:t xml:space="preserve"> </w:t>
      </w:r>
      <w:r>
        <w:t xml:space="preserve">are adults as 95.9 %.</w:t>
      </w:r>
      <w:r>
        <w:t xml:space="preserve"> </w:t>
      </w:r>
      <w:r>
        <w:t xml:space="preserve">So we approximate the cumulative adult cases at any date t, as 0.959</w:t>
      </w:r>
      <w:r>
        <w:t xml:space="preserve"> </w:t>
      </w:r>
      <w:r>
        <w:t xml:space="preserve">times the total cumulative cases at t.</w:t>
      </w:r>
    </w:p>
    <w:p>
      <w:pPr>
        <w:pStyle w:val="Heading2"/>
      </w:pPr>
      <w:bookmarkStart w:id="26" w:name="number-previously-undiagnosed"/>
      <w:bookmarkEnd w:id="26"/>
      <w:r>
        <w:t xml:space="preserve">Number Previously Undiagnosed</w:t>
      </w:r>
    </w:p>
    <w:p>
      <w:pPr>
        <w:pStyle w:val="FirstParagraph"/>
      </w:pPr>
      <w:r>
        <w:t xml:space="preserve">To get the numer of adults previously undiagnosed, we can just subtract the number previously diagnosed by time t from the total number of adults in the US at time t. To get the</w:t>
      </w:r>
      <w:r>
        <w:t xml:space="preserve"> </w:t>
      </w:r>
      <w:r>
        <w:t xml:space="preserve">number of adults in the US at time t, we start with the total number of people in the US</w:t>
      </w:r>
      <w:r>
        <w:t xml:space="preserve"> </w:t>
      </w:r>
      <w:r>
        <w:t xml:space="preserve">at time t based on the US census population clock (US Census, 2020).</w:t>
      </w:r>
    </w:p>
    <w:p>
      <w:pPr>
        <w:pStyle w:val="BodyText"/>
      </w:pPr>
      <w:r>
        <w:t xml:space="preserve">Here is the population over time:</w:t>
      </w:r>
      <w:r>
        <w:t xml:space="preserve"> </w:t>
      </w:r>
      <w:r>
        <w:drawing>
          <wp:inline>
            <wp:extent cx="4620126" cy="3696101"/>
            <wp:effectExtent b="0" l="0" r="0" t="0"/>
            <wp:docPr descr="Total US Population Estimates (2020)" title="" id="1" name="Picture"/>
            <a:graphic>
              <a:graphicData uri="http://schemas.openxmlformats.org/drawingml/2006/picture">
                <pic:pic>
                  <pic:nvPicPr>
                    <pic:cNvPr descr="Ratio-CountsV3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the 2018 data to adjust that estimate (that is the data we are using for the quota sampling). In 2018, the adult population was</w:t>
      </w:r>
    </w:p>
    <w:p>
      <w:pPr>
        <w:pStyle w:val="BodyText"/>
      </w:pPr>
      <w:r>
        <w:t xml:space="preserve">253623658 / 327167434 = 77.52 %</w:t>
      </w:r>
      <w:r>
        <w:t xml:space="preserve"> </w:t>
      </w:r>
      <w:r>
        <w:t xml:space="preserve">of the US population. So assume that the proportion of the population that is adult at each date of the study is 77.52 % of the estimated total population at that time.</w:t>
      </w:r>
    </w:p>
    <w:p>
      <w:pPr>
        <w:pStyle w:val="Heading2"/>
      </w:pPr>
      <w:bookmarkStart w:id="28" w:name="rates-during-study"/>
      <w:bookmarkEnd w:id="28"/>
      <w:r>
        <w:t xml:space="preserve">Rates During Study</w:t>
      </w:r>
    </w:p>
    <w:p>
      <w:pPr>
        <w:pStyle w:val="FirstParagraph"/>
      </w:pPr>
      <w:r>
        <w:t xml:space="preserve">For the final analysis data set we used 8058 individuals. We plot the date that the survey was taken for these individuals:</w:t>
      </w:r>
      <w:r>
        <w:t xml:space="preserve"> </w:t>
      </w:r>
      <w:r>
        <w:drawing>
          <wp:inline>
            <wp:extent cx="4620126" cy="3696101"/>
            <wp:effectExtent b="0" l="0" r="0" t="0"/>
            <wp:docPr descr="Dates Survey Taken for Final Analysis Data Set" title="" id="1" name="Picture"/>
            <a:graphic>
              <a:graphicData uri="http://schemas.openxmlformats.org/drawingml/2006/picture">
                <pic:pic>
                  <pic:nvPicPr>
                    <pic:cNvPr descr="Ratio-CountsV3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methods described previously, the main statistic is the overall rate of undiagnosed US adults that were seropositive per undiagnosed US adults. This rate is an average over the time of the study. The rate is weighted for many variables, but there is no weighting for time.</w:t>
      </w:r>
      <w:r>
        <w:t xml:space="preserve"> </w:t>
      </w:r>
      <w:r>
        <w:t xml:space="preserve">The time of sample collection (and survey taken)</w:t>
      </w:r>
      <w:r>
        <w:t xml:space="preserve"> </w:t>
      </w:r>
      <w:r>
        <w:t xml:space="preserve">is approximately independent of the quota variables, because the quota sampling was done periodically throughout the study so that for each of those variables the marginal distributions are approximately constant over the course of the main part of the study.</w:t>
      </w:r>
    </w:p>
    <w:p>
      <w:pPr>
        <w:pStyle w:val="BodyText"/>
      </w:pPr>
      <w:r>
        <w:t xml:space="preserve">Despite the approximate independence of the quota variables and time, there is a large effect of time in terms of seropositivity -- later samples are more likely to be positive. There are two strategies for adusting for this. First, we can pick a timepoint when about half of the sample is collected and calculate the ratio of counts at that time. In that first approach, the population of previously diagnosed and previously undiagnosed adults in the US are estimated at that middle time point. A second approach is to estimate average the population of previously diagnosed and undiagnosed indivudals over the sample survey times of the individuals. We describe each of those approaches in turn.</w:t>
      </w:r>
    </w:p>
    <w:p>
      <w:pPr>
        <w:pStyle w:val="Heading2"/>
      </w:pPr>
      <w:bookmarkStart w:id="30" w:name="estimating-counts-at-the-midpoint-of-the-study"/>
      <w:bookmarkEnd w:id="30"/>
      <w:r>
        <w:t xml:space="preserve">Estimating Counts at the Midpoint of the Study</w:t>
      </w:r>
    </w:p>
    <w:p>
      <w:pPr>
        <w:pStyle w:val="FirstParagraph"/>
      </w:pPr>
      <w:r>
        <w:t xml:space="preserve">To be precise, we use notation to define the values we are trying to estimate.</w:t>
      </w:r>
      <w:r>
        <w:t xml:space="preserve"> </w:t>
      </w:r>
      <w:r>
        <w:t xml:space="preserve">Let</w:t>
      </w:r>
    </w:p>
    <w:p>
      <w:pPr>
        <w:numPr>
          <w:numId w:val="1001"/>
          <w:ilvl w:val="0"/>
        </w:numPr>
      </w:pPr>
      <m:oMath>
        <m:sSub>
          <m:e>
            <m:r>
              <m:t>N</m:t>
            </m:r>
          </m:e>
          <m:sub>
            <m:r>
              <m:t>u</m:t>
            </m:r>
            <m:r>
              <m:t>d</m:t>
            </m:r>
          </m:sub>
        </m:sSub>
        <m:r>
          <m:t>(</m:t>
        </m:r>
        <m:r>
          <m:t>t</m:t>
        </m:r>
        <m:r>
          <m:t>)</m:t>
        </m:r>
        <m:r>
          <m:t>=</m:t>
        </m:r>
      </m:oMath>
      <w:r>
        <w:t xml:space="preserve"> </w:t>
      </w:r>
      <w:r>
        <w:t xml:space="preserve">the number of US adults that are were previously undiagnosed by PCR by time t.</w:t>
      </w:r>
    </w:p>
    <w:p>
      <w:pPr>
        <w:numPr>
          <w:numId w:val="1001"/>
          <w:ilvl w:val="0"/>
        </w:numPr>
      </w:pPr>
      <m:oMath>
        <m:sSub>
          <m:e>
            <m:r>
              <m:t>N</m:t>
            </m:r>
          </m:e>
          <m:sub>
            <m:r>
              <m:t>d</m:t>
            </m:r>
            <m:r>
              <m:t>c</m:t>
            </m:r>
          </m:sub>
        </m:sSub>
        <m:r>
          <m:t>(</m:t>
        </m:r>
        <m:r>
          <m:t>t</m:t>
        </m:r>
        <m:r>
          <m:t>)</m:t>
        </m:r>
        <m:r>
          <m:t>=</m:t>
        </m:r>
      </m:oMath>
      <w:r>
        <w:t xml:space="preserve"> </w:t>
      </w:r>
      <w:r>
        <w:t xml:space="preserve">the number of US adults that were previously diagnosed by PCR by time t.</w:t>
      </w:r>
    </w:p>
    <w:p>
      <w:pPr>
        <w:numPr>
          <w:numId w:val="1001"/>
          <w:ilvl w:val="0"/>
        </w:numPr>
      </w:pPr>
      <m:oMath>
        <m:sSub>
          <m:e>
            <m:r>
              <m:t>N</m:t>
            </m:r>
          </m:e>
          <m:sub>
            <m:r>
              <m:t>u</m:t>
            </m:r>
            <m:r>
              <m:t>d</m:t>
            </m:r>
            <m:r>
              <m:t>c</m:t>
            </m:r>
          </m:sub>
        </m:sSub>
        <m:r>
          <m:t>(</m:t>
        </m:r>
        <m:r>
          <m:t>t</m:t>
        </m:r>
        <m:r>
          <m:t>)</m:t>
        </m:r>
        <m:r>
          <m:t>=</m:t>
        </m:r>
      </m:oMath>
      <w:r>
        <w:t xml:space="preserve"> </w:t>
      </w:r>
      <w:r>
        <w:t xml:space="preserve">the number of US adults that are seropositive at time t and were previously undiagnosed by PCR at time t.</w:t>
      </w:r>
    </w:p>
    <w:p>
      <w:pPr>
        <w:numPr>
          <w:numId w:val="1001"/>
          <w:ilvl w:val="0"/>
        </w:numPr>
      </w:pPr>
      <m:oMath>
        <m:sSub>
          <m:e>
            <m:r>
              <m:t>R</m:t>
            </m:r>
          </m:e>
          <m:sub>
            <m:r>
              <m:t>u</m:t>
            </m:r>
            <m:r>
              <m:t>d</m:t>
            </m:r>
            <m:r>
              <m:t>c</m:t>
            </m:r>
            <m:r>
              <m:t>/</m:t>
            </m:r>
            <m:r>
              <m:t>d</m:t>
            </m:r>
            <m:r>
              <m:t>c</m:t>
            </m:r>
          </m:sub>
        </m:sSub>
        <m:r>
          <m:t>=</m:t>
        </m:r>
      </m:oMath>
      <w:r>
        <w:t xml:space="preserve"> </w:t>
      </w:r>
      <w:r>
        <w:t xml:space="preserve">the overal estimate of the rate of seropostive individuals out of the population of US adults that were previously undiagnosed. This is a weighted average of binary seroprevalence assay values for the.</w:t>
      </w:r>
    </w:p>
    <w:p>
      <w:pPr>
        <w:pStyle w:val="FirstParagraph"/>
      </w:pPr>
      <w:r>
        <w:t xml:space="preserve">Since</w:t>
      </w:r>
      <w:r>
        <w:t xml:space="preserve"> </w:t>
      </w:r>
      <m:oMath>
        <m:sSub>
          <m:e>
            <m:r>
              <m:t>R</m:t>
            </m:r>
          </m:e>
          <m:sub>
            <m:r>
              <m:t>u</m:t>
            </m:r>
            <m:r>
              <m:t>d</m:t>
            </m:r>
            <m:r>
              <m:t>c</m:t>
            </m:r>
            <m:r>
              <m:t>/</m:t>
            </m:r>
            <m:r>
              <m:t>d</m:t>
            </m:r>
            <m:r>
              <m:t>c</m:t>
            </m:r>
          </m:sub>
        </m:sSub>
      </m:oMath>
      <w:r>
        <w:t xml:space="preserve"> </w:t>
      </w:r>
      <w:r>
        <w:t xml:space="preserve">is a weighted average of the seropostive rate per undiagnosed US adult, one method for estimating the ratio of the counts is to estimate populations at the midpoint of the study. For a midpoint of the study, we have two choices. First, we could use t= July 7, 2020, which is close to the time when half of the study population had been included. This is the time when about half of the non-region 3 states had their data collected. (Recall, region 3 started early in a pilot phase of the study, but the non-region 3 states only participated in the main part of the study when the quota sampling is taking place. Region 3 states are in both the pilot and the main parts of the study.)</w:t>
      </w:r>
      <w:r>
        <w:t xml:space="preserve"> </w:t>
      </w:r>
      <w:r>
        <w:t xml:space="preserve">Alternatively, we can use 2020-06-22 which is the median time of all individuals in the final analysis data set (pilot and main part of the study combined).</w:t>
      </w:r>
    </w:p>
    <w:p>
      <w:pPr>
        <w:pStyle w:val="BodyText"/>
      </w:pPr>
      <w:r>
        <w:t xml:space="preserve">Let</w:t>
      </w:r>
      <w:r>
        <w:t xml:space="preserve"> </w:t>
      </w:r>
      <m:oMath>
        <m:sSub>
          <m:e>
            <m:r>
              <m:t>t</m:t>
            </m:r>
          </m:e>
          <m:sub>
            <m:r>
              <m:t>m</m:t>
            </m:r>
          </m:sub>
        </m:sSub>
      </m:oMath>
      <w:r>
        <w:t xml:space="preserve"> </w:t>
      </w:r>
      <w:r>
        <w:t xml:space="preserve">be the chosen midpoint. Then we want to estimate</w:t>
      </w:r>
    </w:p>
    <w:p>
      <w:pPr>
        <w:pStyle w:val="BodyText"/>
      </w:pPr>
      <m:oMathPara>
        <m:oMathParaPr>
          <m:jc m:val="center"/>
        </m:oMathParaPr>
        <m:oMath>
          <m:sSub>
            <m:e>
              <m:r>
                <m:t>f</m:t>
              </m:r>
            </m:e>
            <m:sub>
              <m:r>
                <m:t>u</m:t>
              </m:r>
              <m:r>
                <m:t>d</m:t>
              </m:r>
              <m:r>
                <m:t>c</m:t>
              </m:r>
              <m:r>
                <m:t>/</m:t>
              </m:r>
              <m:r>
                <m:t>d</m:t>
              </m:r>
              <m:r>
                <m:t>c</m:t>
              </m:r>
            </m:sub>
          </m:sSub>
          <m:r>
            <m:t>(</m:t>
          </m:r>
          <m:sSub>
            <m:e>
              <m:r>
                <m:t>t</m:t>
              </m:r>
            </m:e>
            <m:sub>
              <m:r>
                <m:t>m</m:t>
              </m:r>
            </m:sub>
          </m:sSub>
          <m:r>
            <m:t>)</m:t>
          </m:r>
          <m:r>
            <m:t>=</m:t>
          </m:r>
          <m:f>
            <m:fPr>
              <m:type m:val="bar"/>
            </m:fPr>
            <m:num>
              <m:sSub>
                <m:e>
                  <m:r>
                    <m:t>N</m:t>
                  </m:r>
                </m:e>
                <m:sub>
                  <m:r>
                    <m:t>u</m:t>
                  </m:r>
                  <m:r>
                    <m:t>d</m:t>
                  </m:r>
                  <m:r>
                    <m:t>c</m:t>
                  </m:r>
                </m:sub>
              </m:sSub>
              <m:r>
                <m:t>(</m:t>
              </m:r>
              <m:sSub>
                <m:e>
                  <m:r>
                    <m:t>t</m:t>
                  </m:r>
                </m:e>
                <m:sub>
                  <m:r>
                    <m:t>m</m:t>
                  </m:r>
                </m:sub>
              </m:sSub>
              <m:r>
                <m:t>)</m:t>
              </m:r>
            </m:num>
            <m:den>
              <m:sSub>
                <m:e>
                  <m:r>
                    <m:t>N</m:t>
                  </m:r>
                </m:e>
                <m:sub>
                  <m:r>
                    <m:t>d</m:t>
                  </m:r>
                  <m:r>
                    <m:t>c</m:t>
                  </m:r>
                </m:sub>
              </m:sSub>
              <m:r>
                <m:t>(</m:t>
              </m:r>
              <m:sSub>
                <m:e>
                  <m:r>
                    <m:t>t</m:t>
                  </m:r>
                </m:e>
                <m:sub>
                  <m:r>
                    <m:t>m</m:t>
                  </m:r>
                </m:sub>
              </m:sSub>
              <m:r>
                <m:t>)</m:t>
              </m:r>
            </m:den>
          </m:f>
          <m:r>
            <m:t>≈</m:t>
          </m:r>
          <m:f>
            <m:fPr>
              <m:type m:val="bar"/>
            </m:fPr>
            <m:num>
              <m:d>
                <m:dPr>
                  <m:begChr m:val="{"/>
                  <m:endChr m:val="}"/>
                  <m:grow/>
                </m:dPr>
                <m:e>
                  <m:sSub>
                    <m:e>
                      <m:r>
                        <m:t>P</m:t>
                      </m:r>
                    </m:e>
                    <m:sub>
                      <m:r>
                        <m:t>t</m:t>
                      </m:r>
                    </m:sub>
                  </m:sSub>
                  <m:r>
                    <m:t>(</m:t>
                  </m:r>
                  <m:sSub>
                    <m:e>
                      <m:r>
                        <m:t>t</m:t>
                      </m:r>
                    </m:e>
                    <m:sub>
                      <m:r>
                        <m:t>m</m:t>
                      </m:r>
                    </m:sub>
                  </m:sSub>
                  <m:r>
                    <m:t>)</m:t>
                  </m:r>
                  <m:r>
                    <m:t>−</m:t>
                  </m:r>
                  <m:sSub>
                    <m:e>
                      <m:r>
                        <m:t>N</m:t>
                      </m:r>
                    </m:e>
                    <m:sub>
                      <m:r>
                        <m:t>d</m:t>
                      </m:r>
                      <m:r>
                        <m:t>c</m:t>
                      </m:r>
                    </m:sub>
                  </m:sSub>
                  <m:r>
                    <m:t>(</m:t>
                  </m:r>
                  <m:sSub>
                    <m:e>
                      <m:r>
                        <m:t>t</m:t>
                      </m:r>
                    </m:e>
                    <m:sub>
                      <m:r>
                        <m:t>m</m:t>
                      </m:r>
                    </m:sub>
                  </m:sSub>
                  <m:r>
                    <m:t>)</m:t>
                  </m:r>
                </m:e>
              </m:d>
              <m:sSub>
                <m:e>
                  <m:r>
                    <m:t>R</m:t>
                  </m:r>
                </m:e>
                <m:sub>
                  <m:r>
                    <m:t>u</m:t>
                  </m:r>
                  <m:r>
                    <m:t>d</m:t>
                  </m:r>
                  <m:r>
                    <m:t>c</m:t>
                  </m:r>
                  <m:r>
                    <m:t>/</m:t>
                  </m:r>
                  <m:r>
                    <m:t>u</m:t>
                  </m:r>
                  <m:r>
                    <m:t>d</m:t>
                  </m:r>
                </m:sub>
              </m:sSub>
            </m:num>
            <m:den>
              <m:sSub>
                <m:e>
                  <m:r>
                    <m:t>N</m:t>
                  </m:r>
                </m:e>
                <m:sub>
                  <m:r>
                    <m:t>d</m:t>
                  </m:r>
                  <m:r>
                    <m:t>c</m:t>
                  </m:r>
                </m:sub>
              </m:sSub>
              <m:r>
                <m:t>(</m:t>
              </m:r>
              <m:sSub>
                <m:e>
                  <m:r>
                    <m:t>t</m:t>
                  </m:r>
                </m:e>
                <m:sub>
                  <m:r>
                    <m:t>m</m:t>
                  </m:r>
                </m:sub>
              </m:sSub>
              <m:r>
                <m:t>)</m:t>
              </m:r>
            </m:den>
          </m:f>
          <m:r>
            <m:t>.</m:t>
          </m:r>
        </m:oMath>
      </m:oMathPara>
    </w:p>
    <w:p>
      <w:pPr>
        <w:pStyle w:val="FirstParagraph"/>
      </w:pPr>
      <w:r>
        <w:t xml:space="preserve">where</w:t>
      </w:r>
      <w:r>
        <w:t xml:space="preserve"> </w:t>
      </w:r>
      <m:oMath>
        <m:sSub>
          <m:e>
            <m:r>
              <m:t>P</m:t>
            </m:r>
          </m:e>
          <m:sub>
            <m:r>
              <m:t>t</m:t>
            </m:r>
          </m:sub>
        </m:sSub>
        <m:r>
          <m:t>(</m:t>
        </m:r>
        <m:sSub>
          <m:e>
            <m:r>
              <m:t>t</m:t>
            </m:r>
          </m:e>
          <m:sub>
            <m:r>
              <m:t>m</m:t>
            </m:r>
          </m:sub>
        </m:sSub>
        <m:r>
          <m:t>)</m:t>
        </m:r>
      </m:oMath>
      <w:r>
        <w:t xml:space="preserve"> </w:t>
      </w:r>
      <w:r>
        <w:t xml:space="preserve">is the total US adult population at</w:t>
      </w:r>
      <w:r>
        <w:t xml:space="preserve"> </w:t>
      </w:r>
      <m:oMath>
        <m:sSub>
          <m:e>
            <m:r>
              <m:t>t</m:t>
            </m:r>
          </m:e>
          <m:sub>
            <m:r>
              <m:t>m</m:t>
            </m:r>
          </m:sub>
        </m:sSub>
      </m:oMath>
      <w:r>
        <w:t xml:space="preserve">. As described earlier, we estimate</w:t>
      </w:r>
      <w:r>
        <w:t xml:space="preserve"> </w:t>
      </w:r>
      <m:oMath>
        <m:sSub>
          <m:e>
            <m:r>
              <m:t>P</m:t>
            </m:r>
          </m:e>
          <m:sub>
            <m:r>
              <m:t>t</m:t>
            </m:r>
          </m:sub>
        </m:sSub>
        <m:r>
          <m:t>(</m:t>
        </m:r>
        <m:sSub>
          <m:e>
            <m:r>
              <m:t>t</m:t>
            </m:r>
          </m:e>
          <m:sub>
            <m:r>
              <m:t>m</m:t>
            </m:r>
          </m:sub>
        </m:sSub>
        <m:r>
          <m:t>)</m:t>
        </m:r>
      </m:oMath>
      <w:r>
        <w:t xml:space="preserve"> </w:t>
      </w:r>
      <w:r>
        <w:t xml:space="preserve">using the Census values at</w:t>
      </w:r>
      <w:r>
        <w:t xml:space="preserve"> </w:t>
      </w:r>
      <m:oMath>
        <m:sSub>
          <m:e>
            <m:r>
              <m:t>t</m:t>
            </m:r>
          </m:e>
          <m:sub>
            <m:r>
              <m:t>m</m:t>
            </m:r>
          </m:sub>
        </m:sSub>
      </m:oMath>
      <w:r>
        <w:t xml:space="preserve"> </w:t>
      </w:r>
      <w:r>
        <w:t xml:space="preserve">(which is 329910412 on July 7, 2020, or</w:t>
      </w:r>
      <w:r>
        <w:t xml:space="preserve"> </w:t>
      </w:r>
      <w:r>
        <w:t xml:space="preserve">329832142 on 2020-06-22) multiplied by</w:t>
      </w:r>
      <w:r>
        <w:t xml:space="preserve"> </w:t>
      </w:r>
      <w:r>
        <w:t xml:space="preserve">0.7752, the approximate proportion that are adults.</w:t>
      </w:r>
      <w:r>
        <w:t xml:space="preserve"> </w:t>
      </w:r>
      <w:r>
        <w:t xml:space="preserve">Also described eariler, we estimate</w:t>
      </w:r>
      <w:r>
        <w:t xml:space="preserve"> </w:t>
      </w:r>
      <m:oMath>
        <m:sSub>
          <m:e>
            <m:r>
              <m:t>N</m:t>
            </m:r>
          </m:e>
          <m:sub>
            <m:r>
              <m:t>d</m:t>
            </m:r>
            <m:r>
              <m:t>c</m:t>
            </m:r>
          </m:sub>
        </m:sSub>
        <m:r>
          <m:t>(</m:t>
        </m:r>
        <m:sSub>
          <m:e>
            <m:r>
              <m:t>t</m:t>
            </m:r>
          </m:e>
          <m:sub>
            <m:r>
              <m:t>m</m:t>
            </m:r>
          </m:sub>
        </m:sSub>
        <m:r>
          <m:t>)</m:t>
        </m:r>
      </m:oMath>
      <w:r>
        <w:t xml:space="preserve"> </w:t>
      </w:r>
      <w:r>
        <w:t xml:space="preserve">by taking the total</w:t>
      </w:r>
      <w:r>
        <w:t xml:space="preserve"> </w:t>
      </w:r>
      <w:r>
        <w:t xml:space="preserve">counts of cumulative confirmed cases by PCR at time</w:t>
      </w:r>
      <w:r>
        <w:t xml:space="preserve"> </w:t>
      </w:r>
      <m:oMath>
        <m:sSub>
          <m:e>
            <m:r>
              <m:t>t</m:t>
            </m:r>
          </m:e>
          <m:sub>
            <m:r>
              <m:t>m</m:t>
            </m:r>
          </m:sub>
        </m:sSub>
      </m:oMath>
      <w:r>
        <w:t xml:space="preserve"> </w:t>
      </w:r>
      <w:r>
        <w:t xml:space="preserve">(which is 2987076 on July 7, 2020, or</w:t>
      </w:r>
      <w:r>
        <w:t xml:space="preserve"> </w:t>
      </w:r>
      <w:r>
        <w:t xml:space="preserve">2304358 on 2020-06-22 ),</w:t>
      </w:r>
      <w:r>
        <w:t xml:space="preserve"> </w:t>
      </w:r>
      <w:r>
        <w:t xml:space="preserve">and multiplying it by the approximate proportion that are adults,</w:t>
      </w:r>
      <w:r>
        <w:t xml:space="preserve"> </w:t>
      </w:r>
      <w:r>
        <w:t xml:space="preserve">0.959.</w:t>
      </w:r>
    </w:p>
    <w:p>
      <w:pPr>
        <w:pStyle w:val="BodyText"/>
      </w:pPr>
      <w:r>
        <w:t xml:space="preserve">In other words, we estimate</w:t>
      </w:r>
      <w:r>
        <w:t xml:space="preserve"> </w:t>
      </w:r>
      <m:oMath>
        <m:sSub>
          <m:e>
            <m:r>
              <m:t>f</m:t>
            </m:r>
          </m:e>
          <m:sub>
            <m:r>
              <m:t>u</m:t>
            </m:r>
            <m:r>
              <m:t>d</m:t>
            </m:r>
            <m:r>
              <m:t>c</m:t>
            </m:r>
            <m:r>
              <m:t>/</m:t>
            </m:r>
            <m:r>
              <m:t>d</m:t>
            </m:r>
            <m:r>
              <m:t>c</m:t>
            </m:r>
          </m:sub>
        </m:sSub>
        <m:r>
          <m:t>(</m:t>
        </m:r>
        <m:sSub>
          <m:e>
            <m:r>
              <m:t>t</m:t>
            </m:r>
          </m:e>
          <m:sub>
            <m:r>
              <m:t>m</m:t>
            </m:r>
          </m:sub>
        </m:sSub>
        <m:r>
          <m:t>)</m:t>
        </m:r>
      </m:oMath>
      <w:r>
        <w:t xml:space="preserve"> </w:t>
      </w:r>
      <w:r>
        <w:t xml:space="preserve">when</w:t>
      </w:r>
      <w:r>
        <w:t xml:space="preserve"> </w:t>
      </w:r>
      <m:oMath>
        <m:sSub>
          <m:e>
            <m:r>
              <m:t>t</m:t>
            </m:r>
          </m:e>
          <m:sub>
            <m:r>
              <m:t>m</m:t>
            </m:r>
          </m:sub>
        </m:sSub>
        <m:r>
          <m:t>=</m:t>
        </m:r>
      </m:oMath>
      <w:r>
        <w:t xml:space="preserve"> </w:t>
      </w:r>
      <w:r>
        <w:t xml:space="preserve">July 7, 2020 by</w:t>
      </w:r>
    </w:p>
    <w:p>
      <w:pPr>
        <w:pStyle w:val="BodyText"/>
      </w:pPr>
      <m:oMathPara>
        <m:oMathParaPr>
          <m:jc m:val="center"/>
        </m:oMathParaPr>
        <m:oMath>
          <m:sSub>
            <m:e>
              <m:groupChr>
                <m:groupChrPr>
                  <m:chr m:val="^"/>
                  <m:pos m:val="top"/>
                  <m:vertJc m:val="bot"/>
                </m:groupChrPr>
                <m:e>
                  <m:r>
                    <m:t>f</m:t>
                  </m:r>
                </m:e>
              </m:groupChr>
            </m:e>
            <m:sub>
              <m:r>
                <m:t>u</m:t>
              </m:r>
              <m:r>
                <m:t>d</m:t>
              </m:r>
              <m:r>
                <m:t>c</m:t>
              </m:r>
              <m:r>
                <m:t>/</m:t>
              </m:r>
              <m:r>
                <m:t>d</m:t>
              </m:r>
              <m:r>
                <m:t>c</m:t>
              </m:r>
            </m:sub>
          </m:sSub>
          <m:r>
            <m:t>(</m:t>
          </m:r>
          <m:sSub>
            <m:e>
              <m:r>
                <m:t>t</m:t>
              </m:r>
            </m:e>
            <m:sub>
              <m:r>
                <m:t>m</m:t>
              </m:r>
            </m:sub>
          </m:sSub>
          <m:r>
            <m:t>=</m:t>
          </m:r>
          <m:r>
            <m:t>07</m:t>
          </m:r>
          <m:r>
            <m:t>/</m:t>
          </m:r>
          <m:r>
            <m:t>07</m:t>
          </m:r>
          <m:r>
            <m:t>/</m:t>
          </m:r>
          <m:r>
            <m:t>20</m:t>
          </m:r>
          <m:r>
            <m:t>)</m:t>
          </m:r>
          <m:r>
            <m:t>=</m:t>
          </m:r>
          <m:r>
            <m:t>88.28</m:t>
          </m:r>
          <m:r>
            <m:t>*</m:t>
          </m:r>
          <m:sSub>
            <m:e>
              <m:r>
                <m:t>R</m:t>
              </m:r>
            </m:e>
            <m:sub>
              <m:r>
                <m:t>u</m:t>
              </m:r>
              <m:r>
                <m:t>d</m:t>
              </m:r>
              <m:r>
                <m:t>c</m:t>
              </m:r>
              <m:r>
                <m:t>/</m:t>
              </m:r>
              <m:r>
                <m:t>u</m:t>
              </m:r>
              <m:r>
                <m:t>d</m:t>
              </m:r>
            </m:sub>
          </m:sSub>
          <m:r>
            <m:t>,</m:t>
          </m:r>
        </m:oMath>
      </m:oMathPara>
    </w:p>
    <w:p>
      <w:pPr>
        <w:pStyle w:val="FirstParagraph"/>
      </w:pPr>
      <w:r>
        <w:t xml:space="preserve">and when</w:t>
      </w:r>
      <w:r>
        <w:t xml:space="preserve"> </w:t>
      </w:r>
      <m:oMath>
        <m:sSub>
          <m:e>
            <m:r>
              <m:t>t</m:t>
            </m:r>
          </m:e>
          <m:sub>
            <m:r>
              <m:t>m</m:t>
            </m:r>
          </m:sub>
        </m:sSub>
        <m:r>
          <m:t>=</m:t>
        </m:r>
      </m:oMath>
      <w:r>
        <w:t xml:space="preserve"> </w:t>
      </w:r>
      <w:r>
        <w:t xml:space="preserve">2020-06-22 by</w:t>
      </w:r>
    </w:p>
    <w:p>
      <w:pPr>
        <w:pStyle w:val="BodyText"/>
      </w:pPr>
      <m:oMathPara>
        <m:oMathParaPr>
          <m:jc m:val="center"/>
        </m:oMathParaPr>
        <m:oMath>
          <m:sSub>
            <m:e>
              <m:groupChr>
                <m:groupChrPr>
                  <m:chr m:val="^"/>
                  <m:pos m:val="top"/>
                  <m:vertJc m:val="bot"/>
                </m:groupChrPr>
                <m:e>
                  <m:r>
                    <m:t>f</m:t>
                  </m:r>
                </m:e>
              </m:groupChr>
            </m:e>
            <m:sub>
              <m:r>
                <m:t>u</m:t>
              </m:r>
              <m:r>
                <m:t>d</m:t>
              </m:r>
              <m:r>
                <m:t>c</m:t>
              </m:r>
              <m:r>
                <m:t>/</m:t>
              </m:r>
              <m:r>
                <m:t>d</m:t>
              </m:r>
              <m:r>
                <m:t>c</m:t>
              </m:r>
            </m:sub>
          </m:sSub>
          <m:r>
            <m:t>(</m:t>
          </m:r>
          <m:sSub>
            <m:e>
              <m:r>
                <m:t>t</m:t>
              </m:r>
            </m:e>
            <m:sub>
              <m:r>
                <m:t>m</m:t>
              </m:r>
            </m:sub>
          </m:sSub>
          <m:r>
            <m:t>=</m:t>
          </m:r>
          <m:r>
            <m:t>2020</m:t>
          </m:r>
          <m:r>
            <m:t>−</m:t>
          </m:r>
          <m:r>
            <m:t>06</m:t>
          </m:r>
          <m:r>
            <m:t>−</m:t>
          </m:r>
          <m:r>
            <m:t>22</m:t>
          </m:r>
          <m:r>
            <m:t>)</m:t>
          </m:r>
          <m:r>
            <m:t>=</m:t>
          </m:r>
          <m:r>
            <m:t>114.71</m:t>
          </m:r>
          <m:r>
            <m:t>*</m:t>
          </m:r>
          <m:sSub>
            <m:e>
              <m:r>
                <m:t>R</m:t>
              </m:r>
            </m:e>
            <m:sub>
              <m:r>
                <m:t>u</m:t>
              </m:r>
              <m:r>
                <m:t>d</m:t>
              </m:r>
              <m:r>
                <m:t>c</m:t>
              </m:r>
              <m:r>
                <m:t>/</m:t>
              </m:r>
              <m:r>
                <m:t>u</m:t>
              </m:r>
              <m:r>
                <m:t>d</m:t>
              </m:r>
            </m:sub>
          </m:sSub>
          <m:r>
            <m:t>.</m:t>
          </m:r>
        </m:oMath>
      </m:oMathPara>
    </w:p>
    <w:p>
      <w:pPr>
        <w:pStyle w:val="FirstParagraph"/>
      </w:pPr>
      <w:r>
        <w:t xml:space="preserve">Here are the estimates and 95% confidence intervals for</w:t>
      </w:r>
      <w:r>
        <w:t xml:space="preserve"> </w:t>
      </w:r>
      <m:oMath>
        <m:sSub>
          <m:e>
            <m:r>
              <m:t>R</m:t>
            </m:r>
          </m:e>
          <m:sub>
            <m:r>
              <m:t>u</m:t>
            </m:r>
            <m:r>
              <m:t>d</m:t>
            </m:r>
            <m:r>
              <m:t>c</m:t>
            </m:r>
            <m:r>
              <m:t>/</m:t>
            </m:r>
            <m:r>
              <m:t>u</m:t>
            </m:r>
            <m:r>
              <m:t>d</m:t>
            </m:r>
          </m:sub>
        </m:sSub>
      </m:oMath>
      <w:r>
        <w:t xml:space="preserve"> </w:t>
      </w:r>
      <w:r>
        <w:t xml:space="preserve">for the two different threshold</w:t>
      </w:r>
      <w:r>
        <w:t xml:space="preserve"> </w:t>
      </w:r>
      <w:r>
        <w:t xml:space="preserve">defintions:</w:t>
      </w:r>
    </w:p>
    <w:p>
      <w:pPr>
        <w:pStyle w:val="SourceCode"/>
      </w:pPr>
      <w:r>
        <w:rPr>
          <w:rStyle w:val="VerbatimChar"/>
        </w:rPr>
        <w:t xml:space="preserve">##   estimate        LCL        UCL </w:t>
      </w:r>
      <w:r>
        <w:br w:type="textWrapping"/>
      </w:r>
      <w:r>
        <w:rPr>
          <w:rStyle w:val="VerbatimChar"/>
        </w:rPr>
        <w:t xml:space="preserve">## 0.04555983 0.02631447 0.06490880</w:t>
      </w:r>
    </w:p>
    <w:p>
      <w:pPr>
        <w:pStyle w:val="SourceCode"/>
      </w:pPr>
      <w:r>
        <w:rPr>
          <w:rStyle w:val="VerbatimChar"/>
        </w:rPr>
        <w:t xml:space="preserve">##   estimate        LCL        UCL </w:t>
      </w:r>
      <w:r>
        <w:br w:type="textWrapping"/>
      </w:r>
      <w:r>
        <w:rPr>
          <w:rStyle w:val="VerbatimChar"/>
        </w:rPr>
        <w:t xml:space="preserve">## 0.06568599 0.03321048 0.09404430</w:t>
      </w:r>
    </w:p>
    <w:p>
      <w:pPr>
        <w:pStyle w:val="FirstParagraph"/>
      </w:pPr>
      <w:r>
        <w:t xml:space="preserve">Here is a table of the estimates of</w:t>
      </w:r>
      <w:r>
        <w:t xml:space="preserve"> </w:t>
      </w:r>
      <m:oMath>
        <m:sSub>
          <m:e>
            <m:r>
              <m:t>f</m:t>
            </m:r>
          </m:e>
          <m:sub>
            <m:r>
              <m:t>u</m:t>
            </m:r>
            <m:r>
              <m:t>d</m:t>
            </m:r>
            <m:r>
              <m:t>c</m:t>
            </m:r>
            <m:r>
              <m:t>/</m:t>
            </m:r>
            <m:r>
              <m:t>d</m:t>
            </m:r>
            <m:r>
              <m:t>c</m:t>
            </m:r>
          </m:sub>
        </m:sSub>
        <m:r>
          <m:t>(</m:t>
        </m:r>
        <m:sSub>
          <m:e>
            <m:r>
              <m:t>t</m:t>
            </m:r>
          </m:e>
          <m:sub>
            <m:r>
              <m:t>m</m:t>
            </m:r>
          </m:sub>
        </m:sSub>
        <m:r>
          <m:t>)</m:t>
        </m:r>
      </m:oMath>
      <w:r>
        <w:t xml:space="preserve">:</w:t>
      </w:r>
    </w:p>
    <w:p>
      <w:pPr>
        <w:pStyle w:val="SourceCode"/>
      </w:pPr>
      <w:r>
        <w:rPr>
          <w:rStyle w:val="VerbatimChar"/>
        </w:rPr>
        <w:t xml:space="preserve">##                 threshold        t_m estimate  lowerCL</w:t>
      </w:r>
      <w:r>
        <w:br w:type="textWrapping"/>
      </w:r>
      <w:r>
        <w:rPr>
          <w:rStyle w:val="VerbatimChar"/>
        </w:rPr>
        <w:t xml:space="preserve">## 1   One.Spike.One.RBD.3SD   07/07/20 4.022192 2.323140</w:t>
      </w:r>
      <w:r>
        <w:br w:type="textWrapping"/>
      </w:r>
      <w:r>
        <w:rPr>
          <w:rStyle w:val="VerbatimChar"/>
        </w:rPr>
        <w:t xml:space="preserve">## 2   One.Spike.One.RBD.3SD 2020-06-22 5.226104 3.018496</w:t>
      </w:r>
      <w:r>
        <w:br w:type="textWrapping"/>
      </w:r>
      <w:r>
        <w:rPr>
          <w:rStyle w:val="VerbatimChar"/>
        </w:rPr>
        <w:t xml:space="preserve">## 3 Any.Single.Positive.4SD   07/07/20 5.799004 2.931945</w:t>
      </w:r>
      <w:r>
        <w:br w:type="textWrapping"/>
      </w:r>
      <w:r>
        <w:rPr>
          <w:rStyle w:val="VerbatimChar"/>
        </w:rPr>
        <w:t xml:space="preserve">## 4 Any.Single.Positive.4SD 2020-06-22 7.534747 3.809527</w:t>
      </w:r>
      <w:r>
        <w:br w:type="textWrapping"/>
      </w:r>
      <w:r>
        <w:rPr>
          <w:rStyle w:val="VerbatimChar"/>
        </w:rPr>
        <w:t xml:space="preserve">##     upperCL</w:t>
      </w:r>
      <w:r>
        <w:br w:type="textWrapping"/>
      </w:r>
      <w:r>
        <w:rPr>
          <w:rStyle w:val="VerbatimChar"/>
        </w:rPr>
        <w:t xml:space="preserve">## 1  5.730391</w:t>
      </w:r>
      <w:r>
        <w:br w:type="textWrapping"/>
      </w:r>
      <w:r>
        <w:rPr>
          <w:rStyle w:val="VerbatimChar"/>
        </w:rPr>
        <w:t xml:space="preserve">## 2  7.445597</w:t>
      </w:r>
      <w:r>
        <w:br w:type="textWrapping"/>
      </w:r>
      <w:r>
        <w:rPr>
          <w:rStyle w:val="VerbatimChar"/>
        </w:rPr>
        <w:t xml:space="preserve">## 3  8.302581</w:t>
      </w:r>
      <w:r>
        <w:br w:type="textWrapping"/>
      </w:r>
      <w:r>
        <w:rPr>
          <w:rStyle w:val="VerbatimChar"/>
        </w:rPr>
        <w:t xml:space="preserve">## 4 10.787689</w:t>
      </w:r>
    </w:p>
    <w:p>
      <w:pPr>
        <w:pStyle w:val="Heading2"/>
      </w:pPr>
      <w:bookmarkStart w:id="31" w:name="estimating-counts-by-averaging-over-collection-times"/>
      <w:bookmarkEnd w:id="31"/>
      <w:r>
        <w:t xml:space="preserve">Estimating Counts by Averaging Over Collection Times</w:t>
      </w:r>
    </w:p>
    <w:p>
      <w:pPr>
        <w:pStyle w:val="FirstParagraph"/>
      </w:pPr>
      <w:r>
        <w:t xml:space="preserve">Using the midpoint of the study to estimate the population will give a reasonable estimate</w:t>
      </w:r>
      <w:r>
        <w:t xml:space="preserve"> </w:t>
      </w:r>
      <w:r>
        <w:t xml:space="preserve">if the population is changing approximately linearly during the study time, the</w:t>
      </w:r>
      <w:r>
        <w:t xml:space="preserve"> </w:t>
      </w:r>
      <w:r>
        <w:t xml:space="preserve">cumulative counts of diagnosed adults is changing approximately linearly during the study time,</w:t>
      </w:r>
      <w:r>
        <w:t xml:space="preserve"> </w:t>
      </w:r>
      <w:r>
        <w:t xml:space="preserve">and the data are collected uniformly over the study time. Because we want a method that relies less on those assumptions (i.e., one that would give reasonable estimates if the diagnosed cases increased closer to exponentially than linearly, or one that would give reasonable estimates if a small prortion of the same was collected during an extended pilot period and an extended wrap up period [see above Figure]).</w:t>
      </w:r>
      <w:r>
        <w:t xml:space="preserve"> </w:t>
      </w:r>
      <w:r>
        <w:t xml:space="preserve">If those assumptions are not met, then we may get a biased estimate. An alternative estimator</w:t>
      </w:r>
      <w:r>
        <w:t xml:space="preserve"> </w:t>
      </w:r>
      <w:r>
        <w:t xml:space="preserve">uses the average of the cumulative case counts, averaged over the dates when the individual samples in the final analysis set were collected.</w:t>
      </w:r>
    </w:p>
    <w:p>
      <w:pPr>
        <w:pStyle w:val="BodyText"/>
      </w:pPr>
      <w:r>
        <w:t xml:space="preserve">To be precise, we introduce notation to describe the estimator of the count ratio.</w:t>
      </w:r>
      <w:r>
        <w:t xml:space="preserve"> </w:t>
      </w:r>
      <w:r>
        <w:t xml:space="preserve">First, let</w:t>
      </w:r>
      <w:r>
        <w:t xml:space="preserve"> </w:t>
      </w:r>
      <m:oMath>
        <m:sSub>
          <m:e>
            <m:r>
              <m:t>R</m:t>
            </m:r>
          </m:e>
          <m:sub>
            <m:r>
              <m:t>u</m:t>
            </m:r>
            <m:r>
              <m:t>d</m:t>
            </m:r>
            <m:r>
              <m:t>c</m:t>
            </m:r>
            <m:r>
              <m:t>/</m:t>
            </m:r>
            <m:r>
              <m:t>d</m:t>
            </m:r>
            <m:r>
              <m:t>c</m:t>
            </m:r>
          </m:sub>
        </m:sSub>
      </m:oMath>
      <w:r>
        <w:t xml:space="preserve"> </w:t>
      </w:r>
      <w:r>
        <w:t xml:space="preserve">be the overal estimate of the rate of seropostive individuals out of the population of US adults that were previously undiagnosed. For the</w:t>
      </w:r>
      <w:r>
        <w:t xml:space="preserve"> </w:t>
      </w:r>
      <m:oMath>
        <m:r>
          <m:t>n</m:t>
        </m:r>
        <m:r>
          <m:t>=</m:t>
        </m:r>
      </m:oMath>
      <w:r>
        <w:t xml:space="preserve"> </w:t>
      </w:r>
      <w:r>
        <w:t xml:space="preserve">8058 individuals</w:t>
      </w:r>
      <w:r>
        <w:t xml:space="preserve"> </w:t>
      </w:r>
      <w:r>
        <w:t xml:space="preserve">in the final analysis data set, let</w:t>
      </w:r>
      <w:r>
        <w:t xml:space="preserve"> </w:t>
      </w:r>
      <m:oMath>
        <m:r>
          <m:t>y</m:t>
        </m:r>
        <m:r>
          <m:t>=</m:t>
        </m:r>
        <m:d>
          <m:dPr>
            <m:begChr m:val="{"/>
            <m:endChr m:val="}"/>
            <m:grow/>
          </m:dPr>
          <m:e>
            <m:sSub>
              <m:e>
                <m:r>
                  <m:t>y</m:t>
                </m:r>
              </m:e>
              <m:sub>
                <m:r>
                  <m:t>1</m:t>
                </m:r>
              </m:sub>
            </m:sSub>
            <m:r>
              <m:t>,</m:t>
            </m:r>
            <m:r>
              <m:t>…</m:t>
            </m:r>
            <m:r>
              <m:t>,</m:t>
            </m:r>
            <m:sSub>
              <m:e>
                <m:r>
                  <m:t>y</m:t>
                </m:r>
              </m:e>
              <m:sub>
                <m:r>
                  <m:t>n</m:t>
                </m:r>
              </m:sub>
            </m:sSub>
          </m:e>
        </m:d>
      </m:oMath>
      <w:r>
        <w:t xml:space="preserve"> </w:t>
      </w:r>
      <w:r>
        <w:t xml:space="preserve">be the binary seroprevalence assay results (postive=1/negative=0), let</w:t>
      </w:r>
      <w:r>
        <w:t xml:space="preserve"> </w:t>
      </w:r>
      <m:oMath>
        <m:r>
          <m:t>t</m:t>
        </m:r>
        <m:r>
          <m:t>=</m:t>
        </m:r>
        <m:d>
          <m:dPr>
            <m:begChr m:val="{"/>
            <m:endChr m:val="}"/>
            <m:grow/>
          </m:dPr>
          <m:e>
            <m:sSub>
              <m:e>
                <m:r>
                  <m:t>t</m:t>
                </m:r>
              </m:e>
              <m:sub>
                <m:r>
                  <m:t>1</m:t>
                </m:r>
              </m:sub>
            </m:sSub>
            <m:r>
              <m:t>,</m:t>
            </m:r>
            <m:r>
              <m:t>…</m:t>
            </m:r>
            <m:r>
              <m:t>,</m:t>
            </m:r>
            <m:sSub>
              <m:e>
                <m:r>
                  <m:t>t</m:t>
                </m:r>
              </m:e>
              <m:sub>
                <m:r>
                  <m:t>n</m:t>
                </m:r>
              </m:sub>
            </m:sSub>
          </m:e>
        </m:d>
      </m:oMath>
      <w:r>
        <w:t xml:space="preserve"> </w:t>
      </w:r>
      <w:r>
        <w:t xml:space="preserve">be the associated dates that the survey (and sample) was taken, and let</w:t>
      </w:r>
      <w:r>
        <w:t xml:space="preserve"> </w:t>
      </w:r>
      <m:oMath>
        <m:r>
          <m:t>x</m:t>
        </m:r>
        <m:r>
          <m:t>=</m:t>
        </m:r>
        <m:d>
          <m:dPr>
            <m:begChr m:val="{"/>
            <m:endChr m:val="}"/>
            <m:grow/>
          </m:dPr>
          <m:e>
            <m:sSub>
              <m:e>
                <m:r>
                  <m:t>x</m:t>
                </m:r>
              </m:e>
              <m:sub>
                <m:r>
                  <m:t>1</m:t>
                </m:r>
              </m:sub>
            </m:sSub>
            <m:r>
              <m:t>,</m:t>
            </m:r>
            <m:r>
              <m:t>…</m:t>
            </m:r>
            <m:r>
              <m:t>,</m:t>
            </m:r>
            <m:sSub>
              <m:e>
                <m:r>
                  <m:t>x</m:t>
                </m:r>
              </m:e>
              <m:sub>
                <m:r>
                  <m:t>n</m:t>
                </m:r>
              </m:sub>
            </m:sSub>
          </m:e>
        </m:d>
      </m:oMath>
      <w:r>
        <w:t xml:space="preserve"> </w:t>
      </w:r>
      <w:r>
        <w:t xml:space="preserve">be the list of vectors of covariates used in the weighting model. Let</w:t>
      </w:r>
      <w:r>
        <w:t xml:space="preserve"> </w:t>
      </w:r>
      <m:oMath>
        <m:sSub>
          <m:e>
            <m:r>
              <m:t>s</m:t>
            </m:r>
          </m:e>
          <m:sub>
            <m:r>
              <m:t>y</m:t>
            </m:r>
            <m:r>
              <m:t>,</m:t>
            </m:r>
            <m:r>
              <m:t>x</m:t>
            </m:r>
          </m:sub>
        </m:sSub>
        <m:r>
          <m:t>(</m:t>
        </m:r>
        <m:sSub>
          <m:e>
            <m:r>
              <m:t>x</m:t>
            </m:r>
          </m:e>
          <m:sub>
            <m:r>
              <m:t>i</m:t>
            </m:r>
          </m:sub>
        </m:sSub>
        <m:r>
          <m:t>)</m:t>
        </m:r>
      </m:oMath>
      <w:r>
        <w:t xml:space="preserve"> </w:t>
      </w:r>
      <w:r>
        <w:t xml:space="preserve">be the standardized weight for the</w:t>
      </w:r>
      <w:r>
        <w:t xml:space="preserve"> </w:t>
      </w:r>
      <m:oMath>
        <m:r>
          <m:t>i</m:t>
        </m:r>
      </m:oMath>
      <w:r>
        <w:t xml:space="preserve">th individual,</w:t>
      </w:r>
      <w:r>
        <w:t xml:space="preserve"> </w:t>
      </w:r>
      <w:r>
        <w:t xml:space="preserve">so that</w:t>
      </w:r>
      <w:r>
        <w:t xml:space="preserve"> </w:t>
      </w:r>
      <m:oMath>
        <m:nary>
          <m:naryPr>
            <m:chr m:val="∑"/>
            <m:limLoc m:val="undOvr"/>
            <m:subHide m:val="0"/>
            <m:supHide m:val="0"/>
          </m:naryPr>
          <m:sub>
            <m:r>
              <m:t>i</m:t>
            </m:r>
            <m:r>
              <m:t>=</m:t>
            </m:r>
            <m:r>
              <m:t>1</m:t>
            </m:r>
          </m:sub>
          <m:sup>
            <m:r>
              <m:t>n</m:t>
            </m:r>
          </m:sup>
          <m:e>
            <m:sSub>
              <m:e>
                <m:r>
                  <m:t>s</m:t>
                </m:r>
              </m:e>
              <m:sub>
                <m:r>
                  <m:t>y</m:t>
                </m:r>
                <m:r>
                  <m:t>,</m:t>
                </m:r>
                <m:r>
                  <m:t>x</m:t>
                </m:r>
              </m:sub>
            </m:sSub>
          </m:e>
        </m:nary>
        <m:r>
          <m:t>(</m:t>
        </m:r>
        <m:sSub>
          <m:e>
            <m:r>
              <m:t>x</m:t>
            </m:r>
          </m:e>
          <m:sub>
            <m:r>
              <m:t>i</m:t>
            </m:r>
          </m:sub>
        </m:sSub>
        <m:r>
          <m:t>)</m:t>
        </m:r>
        <m:r>
          <m:t>=</m:t>
        </m:r>
        <m:r>
          <m:t>1</m:t>
        </m:r>
        <m:r>
          <m:t>.</m:t>
        </m:r>
      </m:oMath>
      <w:r>
        <w:t xml:space="preserve"> </w:t>
      </w:r>
      <w:r>
        <w:t xml:space="preserve">Then</w:t>
      </w:r>
    </w:p>
    <w:p>
      <w:pPr>
        <w:pStyle w:val="BodyText"/>
      </w:pPr>
      <m:oMathPara>
        <m:oMathParaPr>
          <m:jc m:val="center"/>
        </m:oMathParaPr>
        <m:oMath>
          <m:sSub>
            <m:e>
              <m:r>
                <m:t>R</m:t>
              </m:r>
            </m:e>
            <m:sub>
              <m:r>
                <m:t>u</m:t>
              </m:r>
              <m:r>
                <m:t>d</m:t>
              </m:r>
              <m:r>
                <m:t>c</m:t>
              </m:r>
              <m:r>
                <m:t>/</m:t>
              </m:r>
              <m:r>
                <m:t>d</m:t>
              </m:r>
              <m:r>
                <m:t>c</m:t>
              </m:r>
            </m:sub>
          </m:sSub>
          <m:r>
            <m:t>=</m:t>
          </m:r>
          <m:nary>
            <m:naryPr>
              <m:chr m:val="∑"/>
              <m:limLoc m:val="undOvr"/>
              <m:subHide m:val="0"/>
              <m:supHide m:val="0"/>
            </m:naryPr>
            <m:sub>
              <m:r>
                <m:t>i</m:t>
              </m:r>
              <m:r>
                <m:t>=</m:t>
              </m:r>
              <m:r>
                <m:t>1</m:t>
              </m:r>
            </m:sub>
            <m:sup>
              <m:r>
                <m:t>n</m:t>
              </m:r>
            </m:sup>
            <m:e>
              <m:sSub>
                <m:e>
                  <m:r>
                    <m:t>s</m:t>
                  </m:r>
                </m:e>
                <m:sub>
                  <m:r>
                    <m:t>y</m:t>
                  </m:r>
                  <m:r>
                    <m:t>,</m:t>
                  </m:r>
                  <m:r>
                    <m:t>x</m:t>
                  </m:r>
                </m:sub>
              </m:sSub>
            </m:e>
          </m:nary>
          <m:r>
            <m:t>(</m:t>
          </m:r>
          <m:sSub>
            <m:e>
              <m:r>
                <m:t>x</m:t>
              </m:r>
            </m:e>
            <m:sub>
              <m:r>
                <m:t>i</m:t>
              </m:r>
            </m:sub>
          </m:sSub>
          <m:r>
            <m:t>)</m:t>
          </m:r>
          <m:sSub>
            <m:e>
              <m:r>
                <m:t>y</m:t>
              </m:r>
            </m:e>
            <m:sub>
              <m:r>
                <m:t>i</m:t>
              </m:r>
            </m:sub>
          </m:sSub>
          <m:r>
            <m:t>.</m:t>
          </m:r>
        </m:oMath>
      </m:oMathPara>
    </w:p>
    <w:p>
      <w:pPr>
        <w:pStyle w:val="FirstParagraph"/>
      </w:pPr>
      <w:r>
        <w:t xml:space="preserve">By basing the weights only on the covariates,</w:t>
      </w:r>
      <w:r>
        <w:t xml:space="preserve"> </w:t>
      </w:r>
      <m:oMath>
        <m:r>
          <m:t>x</m:t>
        </m:r>
      </m:oMath>
      <w:r>
        <w:t xml:space="preserve">, and responses,</w:t>
      </w:r>
      <w:r>
        <w:t xml:space="preserve"> </w:t>
      </w:r>
      <m:oMath>
        <m:r>
          <m:t>y</m:t>
        </m:r>
      </m:oMath>
      <w:r>
        <w:t xml:space="preserve">,</w:t>
      </w:r>
      <w:r>
        <w:t xml:space="preserve"> </w:t>
      </w:r>
      <w:r>
        <w:t xml:space="preserve">and not on the time values,</w:t>
      </w:r>
      <w:r>
        <w:t xml:space="preserve"> </w:t>
      </w:r>
      <m:oMath>
        <m:r>
          <m:t>t</m:t>
        </m:r>
      </m:oMath>
      <w:r>
        <w:t xml:space="preserve">, we are ignoring the changes in the cumulative diagnosis rates</w:t>
      </w:r>
      <w:r>
        <w:t xml:space="preserve"> </w:t>
      </w:r>
      <w:r>
        <w:t xml:space="preserve">over the course of the study. One way to account for those changes over time, is to take an average of the cumulative diagnosed population over the</w:t>
      </w:r>
      <w:r>
        <w:t xml:space="preserve"> </w:t>
      </w:r>
      <m:oMath>
        <m:r>
          <m:t>n</m:t>
        </m:r>
      </m:oMath>
      <w:r>
        <w:t xml:space="preserve"> </w:t>
      </w:r>
      <w:r>
        <w:t xml:space="preserve">collection times.</w:t>
      </w:r>
    </w:p>
    <w:p>
      <w:pPr>
        <w:pStyle w:val="BodyText"/>
      </w:pPr>
      <w:r>
        <w:t xml:space="preserve">In other words, we use the same estimators of</w:t>
      </w:r>
      <w:r>
        <w:t xml:space="preserve"> </w:t>
      </w:r>
      <m:oMath>
        <m:sSub>
          <m:e>
            <m:r>
              <m:t>P</m:t>
            </m:r>
          </m:e>
          <m:sub>
            <m:r>
              <m:t>t</m:t>
            </m:r>
          </m:sub>
        </m:sSub>
        <m:r>
          <m:t>(</m:t>
        </m:r>
        <m:r>
          <m:t>t</m:t>
        </m:r>
        <m:r>
          <m:t>)</m:t>
        </m:r>
      </m:oMath>
      <w:r>
        <w:t xml:space="preserve"> </w:t>
      </w:r>
      <w:r>
        <w:t xml:space="preserve">and</w:t>
      </w:r>
      <w:r>
        <w:t xml:space="preserve"> </w:t>
      </w:r>
      <m:oMath>
        <m:sSub>
          <m:e>
            <m:r>
              <m:t>N</m:t>
            </m:r>
          </m:e>
          <m:sub>
            <m:r>
              <m:t>d</m:t>
            </m:r>
            <m:r>
              <m:t>c</m:t>
            </m:r>
          </m:sub>
        </m:sSub>
        <m:r>
          <m:t>(</m:t>
        </m:r>
        <m:r>
          <m:t>t</m:t>
        </m:r>
        <m:r>
          <m:t>)</m:t>
        </m:r>
      </m:oMath>
      <w:r>
        <w:t xml:space="preserve"> </w:t>
      </w:r>
      <w:r>
        <w:t xml:space="preserve">as described above,</w:t>
      </w:r>
      <w:r>
        <w:t xml:space="preserve"> </w:t>
      </w:r>
      <w:r>
        <w:t xml:space="preserve">but take averages over the study collection times, rather than use a middle time point of the study.</w:t>
      </w:r>
      <w:r>
        <w:t xml:space="preserve"> </w:t>
      </w:r>
      <w:r>
        <w:t xml:space="preserve">Notationally, instead of using</w:t>
      </w:r>
    </w:p>
    <w:p>
      <w:pPr>
        <w:pStyle w:val="BodyText"/>
      </w:pPr>
      <m:oMathPara>
        <m:oMathParaPr>
          <m:jc m:val="center"/>
        </m:oMathParaPr>
        <m:oMath>
          <m:sSub>
            <m:e>
              <m:r>
                <m:t>f</m:t>
              </m:r>
            </m:e>
            <m:sub>
              <m:r>
                <m:t>u</m:t>
              </m:r>
              <m:r>
                <m:t>d</m:t>
              </m:r>
              <m:r>
                <m:t>c</m:t>
              </m:r>
              <m:r>
                <m:t>/</m:t>
              </m:r>
              <m:r>
                <m:t>d</m:t>
              </m:r>
              <m:r>
                <m:t>c</m:t>
              </m:r>
            </m:sub>
          </m:sSub>
          <m:r>
            <m:t>(</m:t>
          </m:r>
          <m:sSub>
            <m:e>
              <m:r>
                <m:t>t</m:t>
              </m:r>
            </m:e>
            <m:sub>
              <m:r>
                <m:t>m</m:t>
              </m:r>
            </m:sub>
          </m:sSub>
          <m:r>
            <m:t>)</m:t>
          </m:r>
          <m:r>
            <m:t>≈</m:t>
          </m:r>
          <m:f>
            <m:fPr>
              <m:type m:val="bar"/>
            </m:fPr>
            <m:num>
              <m:d>
                <m:dPr>
                  <m:begChr m:val="{"/>
                  <m:endChr m:val="}"/>
                  <m:grow/>
                </m:dPr>
                <m:e>
                  <m:sSub>
                    <m:e>
                      <m:r>
                        <m:t>P</m:t>
                      </m:r>
                    </m:e>
                    <m:sub>
                      <m:r>
                        <m:t>t</m:t>
                      </m:r>
                    </m:sub>
                  </m:sSub>
                  <m:r>
                    <m:t>(</m:t>
                  </m:r>
                  <m:sSub>
                    <m:e>
                      <m:r>
                        <m:t>t</m:t>
                      </m:r>
                    </m:e>
                    <m:sub>
                      <m:r>
                        <m:t>m</m:t>
                      </m:r>
                    </m:sub>
                  </m:sSub>
                  <m:r>
                    <m:t>)</m:t>
                  </m:r>
                  <m:r>
                    <m:t>−</m:t>
                  </m:r>
                  <m:sSub>
                    <m:e>
                      <m:r>
                        <m:t>N</m:t>
                      </m:r>
                    </m:e>
                    <m:sub>
                      <m:r>
                        <m:t>d</m:t>
                      </m:r>
                      <m:r>
                        <m:t>c</m:t>
                      </m:r>
                    </m:sub>
                  </m:sSub>
                  <m:r>
                    <m:t>(</m:t>
                  </m:r>
                  <m:sSub>
                    <m:e>
                      <m:r>
                        <m:t>t</m:t>
                      </m:r>
                    </m:e>
                    <m:sub>
                      <m:r>
                        <m:t>m</m:t>
                      </m:r>
                    </m:sub>
                  </m:sSub>
                  <m:r>
                    <m:t>)</m:t>
                  </m:r>
                </m:e>
              </m:d>
              <m:sSub>
                <m:e>
                  <m:r>
                    <m:t>R</m:t>
                  </m:r>
                </m:e>
                <m:sub>
                  <m:r>
                    <m:t>u</m:t>
                  </m:r>
                  <m:r>
                    <m:t>d</m:t>
                  </m:r>
                  <m:r>
                    <m:t>c</m:t>
                  </m:r>
                  <m:r>
                    <m:t>/</m:t>
                  </m:r>
                  <m:r>
                    <m:t>u</m:t>
                  </m:r>
                  <m:r>
                    <m:t>d</m:t>
                  </m:r>
                </m:sub>
              </m:sSub>
            </m:num>
            <m:den>
              <m:sSub>
                <m:e>
                  <m:r>
                    <m:t>N</m:t>
                  </m:r>
                </m:e>
                <m:sub>
                  <m:r>
                    <m:t>d</m:t>
                  </m:r>
                  <m:r>
                    <m:t>c</m:t>
                  </m:r>
                </m:sub>
              </m:sSub>
              <m:r>
                <m:t>(</m:t>
              </m:r>
              <m:sSub>
                <m:e>
                  <m:r>
                    <m:t>t</m:t>
                  </m:r>
                </m:e>
                <m:sub>
                  <m:r>
                    <m:t>m</m:t>
                  </m:r>
                </m:sub>
              </m:sSub>
              <m:r>
                <m:t>)</m:t>
              </m:r>
            </m:den>
          </m:f>
        </m:oMath>
      </m:oMathPara>
    </w:p>
    <w:p>
      <w:pPr>
        <w:pStyle w:val="FirstParagraph"/>
      </w:pPr>
      <w:r>
        <w:t xml:space="preserve">to estimate the ratio of counts, we use</w:t>
      </w:r>
    </w:p>
    <w:p>
      <w:pPr>
        <w:pStyle w:val="BodyText"/>
      </w:pPr>
      <m:oMathPara>
        <m:oMathParaPr>
          <m:jc m:val="center"/>
        </m:oMathParaPr>
        <m:oMath>
          <m:sSub>
            <m:e>
              <m:r>
                <m:t>f</m:t>
              </m:r>
            </m:e>
            <m:sub>
              <m:r>
                <m:t>u</m:t>
              </m:r>
              <m:r>
                <m:t>d</m:t>
              </m:r>
              <m:r>
                <m:t>c</m:t>
              </m:r>
              <m:r>
                <m:t>/</m:t>
              </m:r>
              <m:r>
                <m:t>d</m:t>
              </m:r>
              <m:r>
                <m:t>c</m:t>
              </m:r>
            </m:sub>
          </m:sSub>
          <m:r>
            <m:t>(</m:t>
          </m:r>
          <m:sSub>
            <m:e>
              <m:r>
                <m:t>t</m:t>
              </m:r>
            </m:e>
            <m:sub>
              <m:r>
                <m:t>m</m:t>
              </m:r>
            </m:sub>
          </m:sSub>
          <m:r>
            <m:t>)</m:t>
          </m:r>
          <m:r>
            <m:t>≈</m:t>
          </m:r>
          <m:f>
            <m:fPr>
              <m:type m:val="bar"/>
            </m:fPr>
            <m:num>
              <m:d>
                <m:dPr>
                  <m:begChr m:val="{"/>
                  <m:endChr m:val="}"/>
                  <m:grow/>
                </m:dPr>
                <m:e>
                  <m:sSub>
                    <m:e>
                      <m:bar>
                        <m:barPr>
                          <m:pos m:val="top"/>
                        </m:barPr>
                        <m:e>
                          <m:r>
                            <m:t>P</m:t>
                          </m:r>
                        </m:e>
                      </m:bar>
                    </m:e>
                    <m:sub>
                      <m:r>
                        <m:t>t</m:t>
                      </m:r>
                    </m:sub>
                  </m:sSub>
                  <m:r>
                    <m:t>−</m:t>
                  </m:r>
                  <m:sSub>
                    <m:e>
                      <m:bar>
                        <m:barPr>
                          <m:pos m:val="top"/>
                        </m:barPr>
                        <m:e>
                          <m:r>
                            <m:t>N</m:t>
                          </m:r>
                        </m:e>
                      </m:bar>
                    </m:e>
                    <m:sub>
                      <m:r>
                        <m:t>d</m:t>
                      </m:r>
                      <m:r>
                        <m:t>c</m:t>
                      </m:r>
                    </m:sub>
                  </m:sSub>
                </m:e>
              </m:d>
              <m:sSub>
                <m:e>
                  <m:r>
                    <m:t>R</m:t>
                  </m:r>
                </m:e>
                <m:sub>
                  <m:r>
                    <m:t>u</m:t>
                  </m:r>
                  <m:r>
                    <m:t>d</m:t>
                  </m:r>
                  <m:r>
                    <m:t>c</m:t>
                  </m:r>
                  <m:r>
                    <m:t>/</m:t>
                  </m:r>
                  <m:r>
                    <m:t>u</m:t>
                  </m:r>
                  <m:r>
                    <m:t>d</m:t>
                  </m:r>
                </m:sub>
              </m:sSub>
            </m:num>
            <m:den>
              <m:sSub>
                <m:e>
                  <m:bar>
                    <m:barPr>
                      <m:pos m:val="top"/>
                    </m:barPr>
                    <m:e>
                      <m:r>
                        <m:t>N</m:t>
                      </m:r>
                    </m:e>
                  </m:bar>
                </m:e>
                <m:sub>
                  <m:r>
                    <m:t>d</m:t>
                  </m:r>
                  <m:r>
                    <m:t>c</m:t>
                  </m:r>
                </m:sub>
              </m:sSub>
            </m:den>
          </m:f>
          <m:r>
            <m:t>,</m:t>
          </m:r>
        </m:oMath>
      </m:oMathPara>
    </w:p>
    <w:p>
      <w:pPr>
        <w:pStyle w:val="FirstParagraph"/>
      </w:pPr>
      <w:r>
        <w:t xml:space="preserve">where</w:t>
      </w:r>
    </w:p>
    <w:p>
      <w:pPr>
        <w:pStyle w:val="BodyText"/>
      </w:pPr>
      <m:oMathPara>
        <m:oMathParaPr>
          <m:jc m:val="center"/>
        </m:oMathParaPr>
        <m:oMath>
          <m:sSub>
            <m:e>
              <m:bar>
                <m:barPr>
                  <m:pos m:val="top"/>
                </m:barPr>
                <m:e>
                  <m:r>
                    <m:t>P</m:t>
                  </m:r>
                </m:e>
              </m:bar>
            </m:e>
            <m:sub>
              <m:r>
                <m:t>t</m:t>
              </m:r>
            </m:sub>
          </m:sSub>
          <m:r>
            <m:t>=</m:t>
          </m:r>
          <m:f>
            <m:fPr>
              <m:type m:val="bar"/>
            </m:fPr>
            <m:num>
              <m:r>
                <m:t>1</m:t>
              </m:r>
            </m:num>
            <m:den>
              <m:r>
                <m:t>n</m:t>
              </m:r>
            </m:den>
          </m:f>
          <m:nary>
            <m:naryPr>
              <m:chr m:val="∑"/>
              <m:limLoc m:val="undOvr"/>
              <m:subHide m:val="0"/>
              <m:supHide m:val="0"/>
            </m:naryPr>
            <m:sub>
              <m:r>
                <m:t>i</m:t>
              </m:r>
              <m:r>
                <m:t>=</m:t>
              </m:r>
              <m:r>
                <m:t>1</m:t>
              </m:r>
            </m:sub>
            <m:sup>
              <m:r>
                <m:t>n</m:t>
              </m:r>
            </m:sup>
            <m:e>
              <m:sSub>
                <m:e>
                  <m:r>
                    <m:t>P</m:t>
                  </m:r>
                </m:e>
                <m:sub>
                  <m:r>
                    <m:t>t</m:t>
                  </m:r>
                </m:sub>
              </m:sSub>
            </m:e>
          </m:nary>
          <m:r>
            <m:t>(</m:t>
          </m:r>
          <m:sSub>
            <m:e>
              <m:r>
                <m:t>t</m:t>
              </m:r>
            </m:e>
            <m:sub>
              <m:r>
                <m:t>i</m:t>
              </m:r>
            </m:sub>
          </m:sSub>
          <m:r>
            <m:t>)</m:t>
          </m:r>
        </m:oMath>
      </m:oMathPara>
    </w:p>
    <w:p>
      <w:pPr>
        <w:pStyle w:val="FirstParagraph"/>
      </w:pPr>
      <w:r>
        <w:t xml:space="preserve">and</w:t>
      </w:r>
    </w:p>
    <w:p>
      <w:pPr>
        <w:pStyle w:val="BodyText"/>
      </w:pPr>
      <m:oMathPara>
        <m:oMathParaPr>
          <m:jc m:val="center"/>
        </m:oMathParaPr>
        <m:oMath>
          <m:sSub>
            <m:e>
              <m:bar>
                <m:barPr>
                  <m:pos m:val="top"/>
                </m:barPr>
                <m:e>
                  <m:r>
                    <m:t>N</m:t>
                  </m:r>
                </m:e>
              </m:bar>
            </m:e>
            <m:sub>
              <m:r>
                <m:t>d</m:t>
              </m:r>
              <m:r>
                <m:t>c</m:t>
              </m:r>
            </m:sub>
          </m:sSub>
          <m:r>
            <m:t>=</m:t>
          </m:r>
          <m:f>
            <m:fPr>
              <m:type m:val="bar"/>
            </m:fPr>
            <m:num>
              <m:r>
                <m:t>1</m:t>
              </m:r>
            </m:num>
            <m:den>
              <m:r>
                <m:t>n</m:t>
              </m:r>
            </m:den>
          </m:f>
          <m:nary>
            <m:naryPr>
              <m:chr m:val="∑"/>
              <m:limLoc m:val="undOvr"/>
              <m:subHide m:val="0"/>
              <m:supHide m:val="0"/>
            </m:naryPr>
            <m:sub>
              <m:r>
                <m:t>i</m:t>
              </m:r>
              <m:r>
                <m:t>=</m:t>
              </m:r>
              <m:r>
                <m:t>1</m:t>
              </m:r>
            </m:sub>
            <m:sup>
              <m:r>
                <m:t>n</m:t>
              </m:r>
            </m:sup>
            <m:e>
              <m:sSub>
                <m:e>
                  <m:r>
                    <m:t>N</m:t>
                  </m:r>
                </m:e>
                <m:sub>
                  <m:r>
                    <m:t>d</m:t>
                  </m:r>
                  <m:r>
                    <m:t>c</m:t>
                  </m:r>
                </m:sub>
              </m:sSub>
            </m:e>
          </m:nary>
          <m:r>
            <m:t>(</m:t>
          </m:r>
          <m:sSub>
            <m:e>
              <m:r>
                <m:t>t</m:t>
              </m:r>
            </m:e>
            <m:sub>
              <m:r>
                <m:t>i</m:t>
              </m:r>
            </m:sub>
          </m:sSub>
          <m:r>
            <m:t>)</m:t>
          </m:r>
          <m:r>
            <m:t>.</m:t>
          </m:r>
        </m:oMath>
      </m:oMathPara>
    </w:p>
    <w:p>
      <w:pPr>
        <w:pStyle w:val="FirstParagraph"/>
      </w:pPr>
      <w:r>
        <w:t xml:space="preserve">This gives a factor of</w:t>
      </w:r>
    </w:p>
    <w:p>
      <w:pPr>
        <w:pStyle w:val="BodyText"/>
      </w:pPr>
      <m:oMathPara>
        <m:oMathParaPr>
          <m:jc m:val="center"/>
        </m:oMathParaPr>
        <m:oMath>
          <m:f>
            <m:fPr>
              <m:type m:val="bar"/>
            </m:fPr>
            <m:num>
              <m:d>
                <m:dPr>
                  <m:begChr m:val="{"/>
                  <m:endChr m:val="}"/>
                  <m:grow/>
                </m:dPr>
                <m:e>
                  <m:sSub>
                    <m:e>
                      <m:bar>
                        <m:barPr>
                          <m:pos m:val="top"/>
                        </m:barPr>
                        <m:e>
                          <m:r>
                            <m:t>P</m:t>
                          </m:r>
                        </m:e>
                      </m:bar>
                    </m:e>
                    <m:sub>
                      <m:r>
                        <m:t>t</m:t>
                      </m:r>
                    </m:sub>
                  </m:sSub>
                  <m:r>
                    <m:t>−</m:t>
                  </m:r>
                  <m:sSub>
                    <m:e>
                      <m:bar>
                        <m:barPr>
                          <m:pos m:val="top"/>
                        </m:barPr>
                        <m:e>
                          <m:r>
                            <m:t>N</m:t>
                          </m:r>
                        </m:e>
                      </m:bar>
                    </m:e>
                    <m:sub>
                      <m:r>
                        <m:t>d</m:t>
                      </m:r>
                      <m:r>
                        <m:t>c</m:t>
                      </m:r>
                    </m:sub>
                  </m:sSub>
                </m:e>
              </m:d>
            </m:num>
            <m:den>
              <m:sSub>
                <m:e>
                  <m:bar>
                    <m:barPr>
                      <m:pos m:val="top"/>
                    </m:barPr>
                    <m:e>
                      <m:r>
                        <m:t>N</m:t>
                      </m:r>
                    </m:e>
                  </m:bar>
                </m:e>
                <m:sub>
                  <m:r>
                    <m:t>d</m:t>
                  </m:r>
                  <m:r>
                    <m:t>c</m:t>
                  </m:r>
                </m:sub>
              </m:sSub>
            </m:den>
          </m:f>
          <m:r>
            <m:t>=</m:t>
          </m:r>
          <m:r>
            <m:t>105.0610681</m:t>
          </m:r>
          <m:r>
            <m:t>.</m:t>
          </m:r>
        </m:oMath>
      </m:oMathPara>
    </w:p>
    <w:p>
      <w:pPr>
        <w:pStyle w:val="FirstParagraph"/>
      </w:pPr>
      <w:r>
        <w:t xml:space="preserve">which gives estimates and 95% confidence intervals for the rate of undiagnosed infections to diagnosed cases:</w:t>
      </w:r>
    </w:p>
    <w:p>
      <w:pPr>
        <w:pStyle w:val="SourceCode"/>
      </w:pPr>
      <w:r>
        <w:rPr>
          <w:rStyle w:val="VerbatimChar"/>
        </w:rPr>
        <w:t xml:space="preserve">##                 threshold estimate  lowerCL  upperCL</w:t>
      </w:r>
      <w:r>
        <w:br w:type="textWrapping"/>
      </w:r>
      <w:r>
        <w:rPr>
          <w:rStyle w:val="VerbatimChar"/>
        </w:rPr>
        <w:t xml:space="preserve">## 1   One.Spike.One.RBD.3SD 4.786564 2.764626 6.819388</w:t>
      </w:r>
      <w:r>
        <w:br w:type="textWrapping"/>
      </w:r>
      <w:r>
        <w:rPr>
          <w:rStyle w:val="VerbatimChar"/>
        </w:rPr>
        <w:t xml:space="preserve">## 2 Any.Single.Positive.4SD 6.901040 3.489129 9.880395</w:t>
      </w:r>
    </w:p>
    <w:p>
      <w:pPr>
        <w:pStyle w:val="Heading2"/>
      </w:pPr>
      <w:bookmarkStart w:id="32" w:name="weighted-average-of-population-counts"/>
      <w:bookmarkEnd w:id="32"/>
      <w:r>
        <w:t xml:space="preserve">Weighted Average of Population Counts</w:t>
      </w:r>
    </w:p>
    <w:p>
      <w:pPr>
        <w:pStyle w:val="FirstParagraph"/>
      </w:pPr>
      <w:r>
        <w:t xml:space="preserve">Here is a plot of the standardized weights by date survey taken:</w:t>
      </w:r>
      <w:r>
        <w:t xml:space="preserve"> </w:t>
      </w:r>
      <w:r>
        <w:drawing>
          <wp:inline>
            <wp:extent cx="4620126" cy="3696101"/>
            <wp:effectExtent b="0" l="0" r="0" t="0"/>
            <wp:docPr descr="Dates Survey Taken by Standardized Weights for Final Analysis Data Set" title="" id="1" name="Picture"/>
            <a:graphic>
              <a:graphicData uri="http://schemas.openxmlformats.org/drawingml/2006/picture">
                <pic:pic>
                  <pic:nvPicPr>
                    <pic:cNvPr descr="Ratio-CountsV3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again on the log scale for the standardized weights, we see that there is little correlation:</w:t>
      </w:r>
      <w:r>
        <w:t xml:space="preserve"> </w:t>
      </w:r>
      <w:r>
        <w:drawing>
          <wp:inline>
            <wp:extent cx="4620126" cy="3696101"/>
            <wp:effectExtent b="0" l="0" r="0" t="0"/>
            <wp:docPr descr="Dates Survey Taken by Standardized Weights for Final Analysis Data Set" title="" id="1" name="Picture"/>
            <a:graphic>
              <a:graphicData uri="http://schemas.openxmlformats.org/drawingml/2006/picture">
                <pic:pic>
                  <pic:nvPicPr>
                    <pic:cNvPr descr="Ratio-CountsV3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no significant correlation:</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as.numeric(D$survey_taken_date) and D$stdwgts</w:t>
      </w:r>
      <w:r>
        <w:br w:type="textWrapping"/>
      </w:r>
      <w:r>
        <w:rPr>
          <w:rStyle w:val="VerbatimChar"/>
        </w:rPr>
        <w:t xml:space="preserve">## t = 0.73482, df = 8056, p-value = 0.4625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-0.01365044  0.03001594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0.008186648</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as.numeric(D$survey_taken_date) and log10(D$stdwgts)</w:t>
      </w:r>
      <w:r>
        <w:br w:type="textWrapping"/>
      </w:r>
      <w:r>
        <w:rPr>
          <w:rStyle w:val="VerbatimChar"/>
        </w:rPr>
        <w:t xml:space="preserve">## t = 1.1731, df = 8056, p-value = 0.2408</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-0.008768478  0.034893373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0.01306868</w:t>
      </w:r>
    </w:p>
    <w:p>
      <w:pPr>
        <w:pStyle w:val="FirstParagraph"/>
      </w:pPr>
      <w:r>
        <w:t xml:space="preserve">So we try the weighted estimates,</w:t>
      </w:r>
      <w:r>
        <w:br w:type="textWrapping"/>
      </w:r>
    </w:p>
    <w:p>
      <w:pPr>
        <w:pStyle w:val="BodyText"/>
      </w:pPr>
      <m:oMathPara>
        <m:oMathParaPr>
          <m:jc m:val="center"/>
        </m:oMathParaPr>
        <m:oMath>
          <m:sSub>
            <m:e>
              <m:r>
                <m:t>f</m:t>
              </m:r>
            </m:e>
            <m:sub>
              <m:r>
                <m:t>u</m:t>
              </m:r>
              <m:r>
                <m:t>d</m:t>
              </m:r>
              <m:r>
                <m:t>c</m:t>
              </m:r>
              <m:r>
                <m:t>/</m:t>
              </m:r>
              <m:r>
                <m:t>d</m:t>
              </m:r>
              <m:r>
                <m:t>c</m:t>
              </m:r>
            </m:sub>
          </m:sSub>
          <m:r>
            <m:t>(</m:t>
          </m:r>
          <m:sSub>
            <m:e>
              <m:r>
                <m:t>t</m:t>
              </m:r>
            </m:e>
            <m:sub>
              <m:r>
                <m:t>m</m:t>
              </m:r>
            </m:sub>
          </m:sSub>
          <m:r>
            <m:t>)</m:t>
          </m:r>
          <m:r>
            <m:t>≈</m:t>
          </m:r>
          <m:f>
            <m:fPr>
              <m:type m:val="bar"/>
            </m:fPr>
            <m:num>
              <m:d>
                <m:dPr>
                  <m:begChr m:val="{"/>
                  <m:endChr m:val="}"/>
                  <m:grow/>
                </m:dPr>
                <m:e>
                  <m:sSubSup>
                    <m:e>
                      <m:bar>
                        <m:barPr>
                          <m:pos m:val="top"/>
                        </m:barPr>
                        <m:e>
                          <m:r>
                            <m:t>P</m:t>
                          </m:r>
                        </m:e>
                      </m:bar>
                    </m:e>
                    <m:sub>
                      <m:r>
                        <m:t>t</m:t>
                      </m:r>
                    </m:sub>
                    <m:sup>
                      <m:r>
                        <m:t>w</m:t>
                      </m:r>
                    </m:sup>
                  </m:sSubSup>
                  <m:r>
                    <m:t>−</m:t>
                  </m:r>
                  <m:sSubSup>
                    <m:e>
                      <m:bar>
                        <m:barPr>
                          <m:pos m:val="top"/>
                        </m:barPr>
                        <m:e>
                          <m:r>
                            <m:t>N</m:t>
                          </m:r>
                        </m:e>
                      </m:bar>
                    </m:e>
                    <m:sub>
                      <m:r>
                        <m:t>d</m:t>
                      </m:r>
                      <m:r>
                        <m:t>c</m:t>
                      </m:r>
                    </m:sub>
                    <m:sup>
                      <m:r>
                        <m:t>w</m:t>
                      </m:r>
                    </m:sup>
                  </m:sSubSup>
                </m:e>
              </m:d>
              <m:sSub>
                <m:e>
                  <m:r>
                    <m:t>R</m:t>
                  </m:r>
                </m:e>
                <m:sub>
                  <m:r>
                    <m:t>u</m:t>
                  </m:r>
                  <m:r>
                    <m:t>d</m:t>
                  </m:r>
                  <m:r>
                    <m:t>c</m:t>
                  </m:r>
                  <m:r>
                    <m:t>/</m:t>
                  </m:r>
                  <m:r>
                    <m:t>u</m:t>
                  </m:r>
                  <m:r>
                    <m:t>d</m:t>
                  </m:r>
                </m:sub>
              </m:sSub>
            </m:num>
            <m:den>
              <m:sSubSup>
                <m:e>
                  <m:bar>
                    <m:barPr>
                      <m:pos m:val="top"/>
                    </m:barPr>
                    <m:e>
                      <m:r>
                        <m:t>N</m:t>
                      </m:r>
                    </m:e>
                  </m:bar>
                </m:e>
                <m:sub>
                  <m:r>
                    <m:t>d</m:t>
                  </m:r>
                  <m:r>
                    <m:t>c</m:t>
                  </m:r>
                </m:sub>
                <m:sup>
                  <m:r>
                    <m:t>w</m:t>
                  </m:r>
                </m:sup>
              </m:sSubSup>
            </m:den>
          </m:f>
          <m:r>
            <m:t>,</m:t>
          </m:r>
        </m:oMath>
      </m:oMathPara>
    </w:p>
    <w:p>
      <w:pPr>
        <w:pStyle w:val="FirstParagraph"/>
      </w:pPr>
      <w:r>
        <w:t xml:space="preserve">where</w:t>
      </w:r>
    </w:p>
    <w:p>
      <w:pPr>
        <w:pStyle w:val="BodyText"/>
      </w:pPr>
      <m:oMathPara>
        <m:oMathParaPr>
          <m:jc m:val="center"/>
        </m:oMathParaPr>
        <m:oMath>
          <m:sSubSup>
            <m:e>
              <m:bar>
                <m:barPr>
                  <m:pos m:val="top"/>
                </m:barPr>
                <m:e>
                  <m:r>
                    <m:t>P</m:t>
                  </m:r>
                </m:e>
              </m:bar>
            </m:e>
            <m:sub>
              <m:r>
                <m:t>t</m:t>
              </m:r>
            </m:sub>
            <m:sup>
              <m:r>
                <m:t>w</m:t>
              </m:r>
            </m:sup>
          </m:sSubSup>
          <m:r>
            <m:t>=</m:t>
          </m:r>
          <m:nary>
            <m:naryPr>
              <m:chr m:val="∑"/>
              <m:limLoc m:val="undOvr"/>
              <m:subHide m:val="0"/>
              <m:supHide m:val="0"/>
            </m:naryPr>
            <m:sub>
              <m:r>
                <m:t>i</m:t>
              </m:r>
              <m:r>
                <m:t>=</m:t>
              </m:r>
              <m:r>
                <m:t>1</m:t>
              </m:r>
            </m:sub>
            <m:sup>
              <m:r>
                <m:t>n</m:t>
              </m:r>
            </m:sup>
            <m:e>
              <m:sSub>
                <m:e>
                  <m:r>
                    <m:t>s</m:t>
                  </m:r>
                </m:e>
                <m:sub>
                  <m:r>
                    <m:t>x</m:t>
                  </m:r>
                  <m:r>
                    <m:t>,</m:t>
                  </m:r>
                  <m:r>
                    <m:t>y</m:t>
                  </m:r>
                </m:sub>
              </m:sSub>
            </m:e>
          </m:nary>
          <m:r>
            <m:t>(</m:t>
          </m:r>
          <m:sSub>
            <m:e>
              <m:r>
                <m:t>x</m:t>
              </m:r>
            </m:e>
            <m:sub>
              <m:r>
                <m:t>i</m:t>
              </m:r>
            </m:sub>
          </m:sSub>
          <m:r>
            <m:t>)</m:t>
          </m:r>
          <m:sSub>
            <m:e>
              <m:r>
                <m:t>P</m:t>
              </m:r>
            </m:e>
            <m:sub>
              <m:r>
                <m:t>t</m:t>
              </m:r>
            </m:sub>
          </m:sSub>
          <m:r>
            <m:t>(</m:t>
          </m:r>
          <m:sSub>
            <m:e>
              <m:r>
                <m:t>t</m:t>
              </m:r>
            </m:e>
            <m:sub>
              <m:r>
                <m:t>i</m:t>
              </m:r>
            </m:sub>
          </m:sSub>
          <m:r>
            <m:t>)</m:t>
          </m:r>
        </m:oMath>
      </m:oMathPara>
    </w:p>
    <w:p>
      <w:pPr>
        <w:pStyle w:val="FirstParagraph"/>
      </w:pPr>
      <w:r>
        <w:t xml:space="preserve">and</w:t>
      </w:r>
    </w:p>
    <w:p>
      <w:pPr>
        <w:pStyle w:val="BodyText"/>
      </w:pPr>
      <m:oMathPara>
        <m:oMathParaPr>
          <m:jc m:val="center"/>
        </m:oMathParaPr>
        <m:oMath>
          <m:sSubSup>
            <m:e>
              <m:bar>
                <m:barPr>
                  <m:pos m:val="top"/>
                </m:barPr>
                <m:e>
                  <m:r>
                    <m:t>N</m:t>
                  </m:r>
                </m:e>
              </m:bar>
            </m:e>
            <m:sub>
              <m:r>
                <m:t>d</m:t>
              </m:r>
              <m:r>
                <m:t>c</m:t>
              </m:r>
            </m:sub>
            <m:sup>
              <m:r>
                <m:t>w</m:t>
              </m:r>
            </m:sup>
          </m:sSubSup>
          <m:r>
            <m:t>=</m:t>
          </m:r>
          <m:nary>
            <m:naryPr>
              <m:chr m:val="∑"/>
              <m:limLoc m:val="undOvr"/>
              <m:subHide m:val="0"/>
              <m:supHide m:val="0"/>
            </m:naryPr>
            <m:sub>
              <m:r>
                <m:t>i</m:t>
              </m:r>
              <m:r>
                <m:t>=</m:t>
              </m:r>
              <m:r>
                <m:t>1</m:t>
              </m:r>
            </m:sub>
            <m:sup>
              <m:r>
                <m:t>n</m:t>
              </m:r>
            </m:sup>
            <m:e>
              <m:sSub>
                <m:e>
                  <m:r>
                    <m:t>s</m:t>
                  </m:r>
                </m:e>
                <m:sub>
                  <m:r>
                    <m:t>x</m:t>
                  </m:r>
                  <m:r>
                    <m:t>,</m:t>
                  </m:r>
                  <m:r>
                    <m:t>y</m:t>
                  </m:r>
                </m:sub>
              </m:sSub>
            </m:e>
          </m:nary>
          <m:r>
            <m:t>(</m:t>
          </m:r>
          <m:sSub>
            <m:e>
              <m:r>
                <m:t>x</m:t>
              </m:r>
            </m:e>
            <m:sub>
              <m:r>
                <m:t>i</m:t>
              </m:r>
            </m:sub>
          </m:sSub>
          <m:r>
            <m:t>)</m:t>
          </m:r>
          <m:sSub>
            <m:e>
              <m:r>
                <m:t>N</m:t>
              </m:r>
            </m:e>
            <m:sub>
              <m:r>
                <m:t>d</m:t>
              </m:r>
              <m:r>
                <m:t>c</m:t>
              </m:r>
            </m:sub>
          </m:sSub>
          <m:r>
            <m:t>(</m:t>
          </m:r>
          <m:sSub>
            <m:e>
              <m:r>
                <m:t>t</m:t>
              </m:r>
            </m:e>
            <m:sub>
              <m:r>
                <m:t>i</m:t>
              </m:r>
            </m:sub>
          </m:sSub>
          <m:r>
            <m:t>)</m:t>
          </m:r>
          <m:r>
            <m:t>.</m:t>
          </m:r>
        </m:oMath>
      </m:oMathPara>
    </w:p>
    <w:p>
      <w:pPr>
        <w:pStyle w:val="FirstParagraph"/>
      </w:pPr>
      <w:r>
        <w:t xml:space="preserve">This gives a factor of</w:t>
      </w:r>
    </w:p>
    <w:p>
      <w:pPr>
        <w:pStyle w:val="BodyText"/>
      </w:pPr>
      <m:oMathPara>
        <m:oMathParaPr>
          <m:jc m:val="center"/>
        </m:oMathParaPr>
        <m:oMath>
          <m:f>
            <m:fPr>
              <m:type m:val="bar"/>
            </m:fPr>
            <m:num>
              <m:d>
                <m:dPr>
                  <m:begChr m:val="{"/>
                  <m:endChr m:val="}"/>
                  <m:grow/>
                </m:dPr>
                <m:e>
                  <m:sSubSup>
                    <m:e>
                      <m:bar>
                        <m:barPr>
                          <m:pos m:val="top"/>
                        </m:barPr>
                        <m:e>
                          <m:r>
                            <m:t>P</m:t>
                          </m:r>
                        </m:e>
                      </m:bar>
                    </m:e>
                    <m:sub>
                      <m:r>
                        <m:t>t</m:t>
                      </m:r>
                    </m:sub>
                    <m:sup>
                      <m:r>
                        <m:t>w</m:t>
                      </m:r>
                    </m:sup>
                  </m:sSubSup>
                  <m:r>
                    <m:t>−</m:t>
                  </m:r>
                  <m:sSubSup>
                    <m:e>
                      <m:bar>
                        <m:barPr>
                          <m:pos m:val="top"/>
                        </m:barPr>
                        <m:e>
                          <m:r>
                            <m:t>N</m:t>
                          </m:r>
                        </m:e>
                      </m:bar>
                    </m:e>
                    <m:sub>
                      <m:r>
                        <m:t>d</m:t>
                      </m:r>
                      <m:r>
                        <m:t>c</m:t>
                      </m:r>
                    </m:sub>
                    <m:sup>
                      <m:r>
                        <m:t>w</m:t>
                      </m:r>
                    </m:sup>
                  </m:sSubSup>
                </m:e>
              </m:d>
            </m:num>
            <m:den>
              <m:sSubSup>
                <m:e>
                  <m:bar>
                    <m:barPr>
                      <m:pos m:val="top"/>
                    </m:barPr>
                    <m:e>
                      <m:r>
                        <m:t>N</m:t>
                      </m:r>
                    </m:e>
                  </m:bar>
                </m:e>
                <m:sub>
                  <m:r>
                    <m:t>d</m:t>
                  </m:r>
                  <m:r>
                    <m:t>c</m:t>
                  </m:r>
                </m:sub>
                <m:sup>
                  <m:r>
                    <m:t>w</m:t>
                  </m:r>
                </m:sup>
              </m:sSubSup>
            </m:den>
          </m:f>
          <m:r>
            <m:t>=</m:t>
          </m:r>
          <m:r>
            <m:t>104.0782032</m:t>
          </m:r>
          <m:r>
            <m:t>.</m:t>
          </m:r>
        </m:oMath>
      </m:oMathPara>
    </w:p>
    <w:p>
      <w:pPr>
        <w:pStyle w:val="FirstParagraph"/>
      </w:pPr>
      <w:r>
        <w:t xml:space="preserve">which gives estimates and 95% confidence intervals for the rate of undiagnosed infections to diagnosed cases:</w:t>
      </w:r>
    </w:p>
    <w:p>
      <w:pPr>
        <w:pStyle w:val="SourceCode"/>
      </w:pPr>
      <w:r>
        <w:rPr>
          <w:rStyle w:val="VerbatimChar"/>
        </w:rPr>
        <w:t xml:space="preserve">##                 threshold estimate  lowerCL  upperCL</w:t>
      </w:r>
      <w:r>
        <w:br w:type="textWrapping"/>
      </w:r>
      <w:r>
        <w:rPr>
          <w:rStyle w:val="VerbatimChar"/>
        </w:rPr>
        <w:t xml:space="preserve">## 1   One.Spike.One.RBD.3SD 4.741785 2.738763 6.755591</w:t>
      </w:r>
      <w:r>
        <w:br w:type="textWrapping"/>
      </w:r>
      <w:r>
        <w:rPr>
          <w:rStyle w:val="VerbatimChar"/>
        </w:rPr>
        <w:t xml:space="preserve">## 2 Any.Single.Positive.4SD 6.836480 3.456487 9.787962</w:t>
      </w:r>
    </w:p>
    <w:p>
      <w:pPr>
        <w:pStyle w:val="Heading2"/>
      </w:pPr>
      <w:bookmarkStart w:id="35" w:name="calculating-the-ratio-separately-by-region"/>
      <w:bookmarkEnd w:id="35"/>
      <w:r>
        <w:t xml:space="preserve">Calculating the Ratio Separately by Region</w:t>
      </w:r>
    </w:p>
    <w:p>
      <w:pPr>
        <w:pStyle w:val="FirstParagraph"/>
      </w:pPr>
      <w:r>
        <w:t xml:space="preserve">We repeat the section "Estimating Counts by Averaging Over Collection Times", except we get the average counts for each region.</w:t>
      </w:r>
    </w:p>
    <w:p>
      <w:pPr>
        <w:pStyle w:val="BodyText"/>
      </w:pPr>
      <w:r>
        <w:t xml:space="preserve">To doublecheck that the data are spread out evenly over the time of the study, we plot the date that the survey was taken for these individuals by region:</w:t>
      </w:r>
      <w:r>
        <w:t xml:space="preserve"> </w:t>
      </w:r>
      <w:r>
        <w:drawing>
          <wp:inline>
            <wp:extent cx="5334000" cy="3333750"/>
            <wp:effectExtent b="0" l="0" r="0" t="0"/>
            <wp:docPr descr="Dates Survey Taken by Region for Final Analysis Data Set" title="" id="1" name="Picture"/>
            <a:graphic>
              <a:graphicData uri="http://schemas.openxmlformats.org/drawingml/2006/picture">
                <pic:pic>
                  <pic:nvPicPr>
                    <pic:cNvPr descr="Ratio-CountsV3_files/figure-docx/unnamed-chunk-21-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We see that the date when 20% of the participants from the region are included in the study is different for the Mid-Atlantic region.</w:t>
      </w:r>
    </w:p>
    <w:p>
      <w:pPr>
        <w:pStyle w:val="SourceCode"/>
      </w:pPr>
      <w:r>
        <w:rPr>
          <w:rStyle w:val="VerbatimChar"/>
        </w:rPr>
        <w:t xml:space="preserve">##          Northeast           Mid-West       Mid-Atlantic </w:t>
      </w:r>
      <w:r>
        <w:br w:type="textWrapping"/>
      </w:r>
      <w:r>
        <w:rPr>
          <w:rStyle w:val="VerbatimChar"/>
        </w:rPr>
        <w:t xml:space="preserve">##       "2020-06-03"       "2020-06-04"       "2020-05-14" </w:t>
      </w:r>
      <w:r>
        <w:br w:type="textWrapping"/>
      </w:r>
      <w:r>
        <w:rPr>
          <w:rStyle w:val="VerbatimChar"/>
        </w:rPr>
        <w:t xml:space="preserve">##      South/Central Mountain/Southwest       West/Pacific </w:t>
      </w:r>
      <w:r>
        <w:br w:type="textWrapping"/>
      </w:r>
      <w:r>
        <w:rPr>
          <w:rStyle w:val="VerbatimChar"/>
        </w:rPr>
        <w:t xml:space="preserve">##       "2020-06-05"       "2020-06-06"       "2020-06-05"</w:t>
      </w:r>
    </w:p>
    <w:p>
      <w:pPr>
        <w:pStyle w:val="FirstParagraph"/>
      </w:pPr>
      <w:r>
        <w:t xml:space="preserve">Expand the notation, adding a superscript</w:t>
      </w:r>
      <w:r>
        <w:t xml:space="preserve"> </w:t>
      </w:r>
      <m:oMath>
        <m:r>
          <m:t>(</m:t>
        </m:r>
        <m:r>
          <m:t>k</m:t>
        </m:r>
        <m:r>
          <m:t>)</m:t>
        </m:r>
      </m:oMath>
      <w:r>
        <w:t xml:space="preserve"> </w:t>
      </w:r>
      <w:r>
        <w:t xml:space="preserve">to denote the</w:t>
      </w:r>
      <w:r>
        <w:t xml:space="preserve"> </w:t>
      </w:r>
      <m:oMath>
        <m:r>
          <m:t>k</m:t>
        </m:r>
      </m:oMath>
      <w:r>
        <w:t xml:space="preserve">th region. For example,</w:t>
      </w:r>
      <w:r>
        <w:t xml:space="preserve"> </w:t>
      </w:r>
      <m:oMath>
        <m:sSubSup>
          <m:e>
            <m:r>
              <m:t>P</m:t>
            </m:r>
          </m:e>
          <m:sub>
            <m:r>
              <m:t>t</m:t>
            </m:r>
          </m:sub>
          <m:sup>
            <m:r>
              <m:t>(</m:t>
            </m:r>
            <m:r>
              <m:t>k</m:t>
            </m:r>
            <m:r>
              <m:t>)</m:t>
            </m:r>
          </m:sup>
        </m:sSubSup>
        <m:r>
          <m:t>(</m:t>
        </m:r>
        <m:sSub>
          <m:e>
            <m:r>
              <m:t>t</m:t>
            </m:r>
          </m:e>
          <m:sub>
            <m:r>
              <m:t>i</m:t>
            </m:r>
          </m:sub>
        </m:sSub>
        <m:r>
          <m:t>)</m:t>
        </m:r>
      </m:oMath>
      <w:r>
        <w:t xml:space="preserve"> </w:t>
      </w:r>
      <w:r>
        <w:t xml:space="preserve">is the population size in region</w:t>
      </w:r>
      <w:r>
        <w:t xml:space="preserve"> </w:t>
      </w:r>
      <m:oMath>
        <m:r>
          <m:t>k</m:t>
        </m:r>
      </m:oMath>
      <w:r>
        <w:t xml:space="preserve"> </w:t>
      </w:r>
      <w:r>
        <w:t xml:space="preserve">at time</w:t>
      </w:r>
      <w:r>
        <w:t xml:space="preserve"> </w:t>
      </w:r>
      <m:oMath>
        <m:sSub>
          <m:e>
            <m:r>
              <m:t>t</m:t>
            </m:r>
          </m:e>
          <m:sub>
            <m:r>
              <m:t>i</m:t>
            </m:r>
          </m:sub>
        </m:sSub>
      </m:oMath>
      <w:r>
        <w:t xml:space="preserve">, and similarly define</w:t>
      </w:r>
      <w:r>
        <w:t xml:space="preserve"> </w:t>
      </w:r>
      <m:oMath>
        <m:sSubSup>
          <m:e>
            <m:r>
              <m:t>N</m:t>
            </m:r>
          </m:e>
          <m:sub>
            <m:r>
              <m:t>d</m:t>
            </m:r>
            <m:r>
              <m:t>c</m:t>
            </m:r>
          </m:sub>
          <m:sup>
            <m:r>
              <m:t>(</m:t>
            </m:r>
            <m:r>
              <m:t>k</m:t>
            </m:r>
            <m:r>
              <m:t>)</m:t>
            </m:r>
          </m:sup>
        </m:sSubSup>
        <m:r>
          <m:t>(</m:t>
        </m:r>
        <m:sSub>
          <m:e>
            <m:r>
              <m:t>t</m:t>
            </m:r>
          </m:e>
          <m:sub>
            <m:r>
              <m:t>i</m:t>
            </m:r>
          </m:sub>
        </m:sSub>
        <m:r>
          <m:t>)</m:t>
        </m:r>
      </m:oMath>
      <w:r>
        <w:t xml:space="preserve"> </w:t>
      </w:r>
      <w:r>
        <w:t xml:space="preserve">as the cumulative number of diagnosed cases in region</w:t>
      </w:r>
      <w:r>
        <w:t xml:space="preserve"> </w:t>
      </w:r>
      <m:oMath>
        <m:r>
          <m:t>k</m:t>
        </m:r>
      </m:oMath>
      <w:r>
        <w:t xml:space="preserve"> </w:t>
      </w:r>
      <w:r>
        <w:t xml:space="preserve">at time</w:t>
      </w:r>
      <w:r>
        <w:t xml:space="preserve"> </w:t>
      </w:r>
      <m:oMath>
        <m:sSub>
          <m:e>
            <m:r>
              <m:t>t</m:t>
            </m:r>
          </m:e>
          <m:sub>
            <m:r>
              <m:t>i</m:t>
            </m:r>
          </m:sub>
        </m:sSub>
      </m:oMath>
      <w:r>
        <w:t xml:space="preserve">.</w:t>
      </w:r>
      <w:r>
        <w:t xml:space="preserve"> </w:t>
      </w:r>
      <w:r>
        <w:t xml:space="preserve">Also let</w:t>
      </w:r>
      <w:r>
        <w:t xml:space="preserve"> </w:t>
      </w:r>
      <m:oMath>
        <m:sSub>
          <m:e>
            <m:r>
              <m:t>n</m:t>
            </m:r>
          </m:e>
          <m:sub>
            <m:r>
              <m:t>k</m:t>
            </m:r>
          </m:sub>
        </m:sSub>
      </m:oMath>
      <w:r>
        <w:t xml:space="preserve"> </w:t>
      </w:r>
      <w:r>
        <w:t xml:space="preserve">be the number in the sample from the</w:t>
      </w:r>
      <w:r>
        <w:t xml:space="preserve"> </w:t>
      </w:r>
      <m:oMath>
        <m:r>
          <m:t>k</m:t>
        </m:r>
      </m:oMath>
      <w:r>
        <w:t xml:space="preserve">th region, and</w:t>
      </w:r>
      <w:r>
        <w:t xml:space="preserve"> </w:t>
      </w:r>
      <m:oMath>
        <m:sSub>
          <m:e>
            <m:r>
              <m:t>I</m:t>
            </m:r>
          </m:e>
          <m:sub>
            <m:r>
              <m:t>k</m:t>
            </m:r>
          </m:sub>
        </m:sSub>
      </m:oMath>
      <w:r>
        <w:t xml:space="preserve"> </w:t>
      </w:r>
      <w:r>
        <w:t xml:space="preserve">be the set of indices from the</w:t>
      </w:r>
      <w:r>
        <w:t xml:space="preserve"> </w:t>
      </w:r>
      <m:oMath>
        <m:r>
          <m:t>k</m:t>
        </m:r>
      </m:oMath>
      <w:r>
        <w:t xml:space="preserve">th region. We use</w:t>
      </w:r>
    </w:p>
    <w:p>
      <w:pPr>
        <w:pStyle w:val="BodyText"/>
      </w:pPr>
      <m:oMathPara>
        <m:oMathParaPr>
          <m:jc m:val="center"/>
        </m:oMathParaPr>
        <m:oMath>
          <m:sSubSup>
            <m:e>
              <m:r>
                <m:t>f</m:t>
              </m:r>
            </m:e>
            <m:sub>
              <m:r>
                <m:t>u</m:t>
              </m:r>
              <m:r>
                <m:t>d</m:t>
              </m:r>
              <m:r>
                <m:t>c</m:t>
              </m:r>
              <m:r>
                <m:t>/</m:t>
              </m:r>
              <m:r>
                <m:t>d</m:t>
              </m:r>
              <m:r>
                <m:t>c</m:t>
              </m:r>
            </m:sub>
            <m:sup>
              <m:r>
                <m:t>(</m:t>
              </m:r>
              <m:r>
                <m:t>k</m:t>
              </m:r>
              <m:r>
                <m:t>)</m:t>
              </m:r>
            </m:sup>
          </m:sSubSup>
          <m:r>
            <m:t>(</m:t>
          </m:r>
          <m:sSub>
            <m:e>
              <m:r>
                <m:t>t</m:t>
              </m:r>
            </m:e>
            <m:sub>
              <m:r>
                <m:t>m</m:t>
              </m:r>
            </m:sub>
          </m:sSub>
          <m:r>
            <m:t>)</m:t>
          </m:r>
          <m:r>
            <m:t>≈</m:t>
          </m:r>
          <m:f>
            <m:fPr>
              <m:type m:val="bar"/>
            </m:fPr>
            <m:num>
              <m:d>
                <m:dPr>
                  <m:begChr m:val="{"/>
                  <m:endChr m:val="}"/>
                  <m:grow/>
                </m:dPr>
                <m:e>
                  <m:sSubSup>
                    <m:e>
                      <m:bar>
                        <m:barPr>
                          <m:pos m:val="top"/>
                        </m:barPr>
                        <m:e>
                          <m:r>
                            <m:t>P</m:t>
                          </m:r>
                        </m:e>
                      </m:bar>
                    </m:e>
                    <m:sub>
                      <m:r>
                        <m:t>t</m:t>
                      </m:r>
                    </m:sub>
                    <m:sup>
                      <m:r>
                        <m:t>(</m:t>
                      </m:r>
                      <m:r>
                        <m:t>k</m:t>
                      </m:r>
                      <m:r>
                        <m:t>)</m:t>
                      </m:r>
                    </m:sup>
                  </m:sSubSup>
                  <m:r>
                    <m:t>−</m:t>
                  </m:r>
                  <m:sSubSup>
                    <m:e>
                      <m:bar>
                        <m:barPr>
                          <m:pos m:val="top"/>
                        </m:barPr>
                        <m:e>
                          <m:r>
                            <m:t>N</m:t>
                          </m:r>
                        </m:e>
                      </m:bar>
                    </m:e>
                    <m:sub>
                      <m:r>
                        <m:t>d</m:t>
                      </m:r>
                      <m:r>
                        <m:t>c</m:t>
                      </m:r>
                    </m:sub>
                    <m:sup>
                      <m:r>
                        <m:t>(</m:t>
                      </m:r>
                      <m:r>
                        <m:t>k</m:t>
                      </m:r>
                      <m:r>
                        <m:t>)</m:t>
                      </m:r>
                    </m:sup>
                  </m:sSubSup>
                </m:e>
              </m:d>
              <m:sSubSup>
                <m:e>
                  <m:r>
                    <m:t>R</m:t>
                  </m:r>
                </m:e>
                <m:sub>
                  <m:r>
                    <m:t>u</m:t>
                  </m:r>
                  <m:r>
                    <m:t>d</m:t>
                  </m:r>
                  <m:r>
                    <m:t>c</m:t>
                  </m:r>
                  <m:r>
                    <m:t>/</m:t>
                  </m:r>
                  <m:r>
                    <m:t>u</m:t>
                  </m:r>
                  <m:r>
                    <m:t>d</m:t>
                  </m:r>
                </m:sub>
                <m:sup>
                  <m:r>
                    <m:t>(</m:t>
                  </m:r>
                  <m:r>
                    <m:t>k</m:t>
                  </m:r>
                  <m:r>
                    <m:t>)</m:t>
                  </m:r>
                </m:sup>
              </m:sSubSup>
            </m:num>
            <m:den>
              <m:sSubSup>
                <m:e>
                  <m:bar>
                    <m:barPr>
                      <m:pos m:val="top"/>
                    </m:barPr>
                    <m:e>
                      <m:r>
                        <m:t>N</m:t>
                      </m:r>
                    </m:e>
                  </m:bar>
                </m:e>
                <m:sub>
                  <m:r>
                    <m:t>d</m:t>
                  </m:r>
                  <m:r>
                    <m:t>c</m:t>
                  </m:r>
                </m:sub>
                <m:sup>
                  <m:r>
                    <m:t>(</m:t>
                  </m:r>
                  <m:r>
                    <m:t>k</m:t>
                  </m:r>
                  <m:r>
                    <m:t>)</m:t>
                  </m:r>
                </m:sup>
              </m:sSubSup>
            </m:den>
          </m:f>
          <m:r>
            <m:t>,</m:t>
          </m:r>
        </m:oMath>
      </m:oMathPara>
    </w:p>
    <w:p>
      <w:pPr>
        <w:pStyle w:val="FirstParagraph"/>
      </w:pPr>
      <w:r>
        <w:t xml:space="preserve">where</w:t>
      </w:r>
    </w:p>
    <w:p>
      <w:pPr>
        <w:pStyle w:val="BodyText"/>
      </w:pPr>
      <m:oMathPara>
        <m:oMathParaPr>
          <m:jc m:val="center"/>
        </m:oMathParaPr>
        <m:oMath>
          <m:sSubSup>
            <m:e>
              <m:bar>
                <m:barPr>
                  <m:pos m:val="top"/>
                </m:barPr>
                <m:e>
                  <m:r>
                    <m:t>P</m:t>
                  </m:r>
                </m:e>
              </m:bar>
            </m:e>
            <m:sub>
              <m:r>
                <m:t>t</m:t>
              </m:r>
            </m:sub>
            <m:sup>
              <m:r>
                <m:t>(</m:t>
              </m:r>
              <m:r>
                <m:t>k</m:t>
              </m:r>
              <m:r>
                <m:t>)</m:t>
              </m:r>
            </m:sup>
          </m:sSubSup>
          <m:r>
            <m:t>=</m:t>
          </m:r>
          <m:f>
            <m:fPr>
              <m:type m:val="bar"/>
            </m:fPr>
            <m:num>
              <m:r>
                <m:t>1</m:t>
              </m:r>
            </m:num>
            <m:den>
              <m:sSub>
                <m:e>
                  <m:r>
                    <m:t>n</m:t>
                  </m:r>
                </m:e>
                <m:sub>
                  <m:r>
                    <m:t>k</m:t>
                  </m:r>
                </m:sub>
              </m:sSub>
            </m:den>
          </m:f>
          <m:nary>
            <m:naryPr>
              <m:chr m:val="∑"/>
              <m:limLoc m:val="undOvr"/>
              <m:subHide m:val="0"/>
              <m:supHide m:val="1"/>
            </m:naryPr>
            <m:sub>
              <m:r>
                <m:t>i</m:t>
              </m:r>
              <m:r>
                <m:t>∈</m:t>
              </m:r>
              <m:sSub>
                <m:e>
                  <m:r>
                    <m:t>I</m:t>
                  </m:r>
                </m:e>
                <m:sub>
                  <m:r>
                    <m:t>k</m:t>
                  </m:r>
                </m:sub>
              </m:sSub>
            </m:sub>
            <m:sup/>
            <m:e>
              <m:sSubSup>
                <m:e>
                  <m:r>
                    <m:t>P</m:t>
                  </m:r>
                </m:e>
                <m:sub>
                  <m:r>
                    <m:t>t</m:t>
                  </m:r>
                </m:sub>
                <m:sup>
                  <m:r>
                    <m:t>(</m:t>
                  </m:r>
                  <m:r>
                    <m:t>k</m:t>
                  </m:r>
                  <m:r>
                    <m:t>)</m:t>
                  </m:r>
                </m:sup>
              </m:sSubSup>
            </m:e>
          </m:nary>
          <m:r>
            <m:t>(</m:t>
          </m:r>
          <m:sSub>
            <m:e>
              <m:r>
                <m:t>t</m:t>
              </m:r>
            </m:e>
            <m:sub>
              <m:r>
                <m:t>i</m:t>
              </m:r>
            </m:sub>
          </m:sSub>
          <m:r>
            <m:t>)</m:t>
          </m:r>
        </m:oMath>
      </m:oMathPara>
    </w:p>
    <w:p>
      <w:pPr>
        <w:pStyle w:val="FirstParagraph"/>
      </w:pPr>
      <w:r>
        <w:t xml:space="preserve">and</w:t>
      </w:r>
    </w:p>
    <w:p>
      <w:pPr>
        <w:pStyle w:val="BodyText"/>
      </w:pPr>
      <m:oMathPara>
        <m:oMathParaPr>
          <m:jc m:val="center"/>
        </m:oMathParaPr>
        <m:oMath>
          <m:sSubSup>
            <m:e>
              <m:bar>
                <m:barPr>
                  <m:pos m:val="top"/>
                </m:barPr>
                <m:e>
                  <m:r>
                    <m:t>N</m:t>
                  </m:r>
                </m:e>
              </m:bar>
            </m:e>
            <m:sub>
              <m:r>
                <m:t>d</m:t>
              </m:r>
              <m:r>
                <m:t>c</m:t>
              </m:r>
            </m:sub>
            <m:sup>
              <m:r>
                <m:t>(</m:t>
              </m:r>
              <m:r>
                <m:t>k</m:t>
              </m:r>
              <m:r>
                <m:t>)</m:t>
              </m:r>
            </m:sup>
          </m:sSubSup>
          <m:r>
            <m:t>=</m:t>
          </m:r>
          <m:f>
            <m:fPr>
              <m:type m:val="bar"/>
            </m:fPr>
            <m:num>
              <m:r>
                <m:t>1</m:t>
              </m:r>
            </m:num>
            <m:den>
              <m:sSub>
                <m:e>
                  <m:r>
                    <m:t>n</m:t>
                  </m:r>
                </m:e>
                <m:sub>
                  <m:r>
                    <m:t>k</m:t>
                  </m:r>
                </m:sub>
              </m:sSub>
            </m:den>
          </m:f>
          <m:nary>
            <m:naryPr>
              <m:chr m:val="∑"/>
              <m:limLoc m:val="undOvr"/>
              <m:subHide m:val="0"/>
              <m:supHide m:val="1"/>
            </m:naryPr>
            <m:sub>
              <m:r>
                <m:t>i</m:t>
              </m:r>
              <m:r>
                <m:t>∈</m:t>
              </m:r>
              <m:sSub>
                <m:e>
                  <m:r>
                    <m:t>I</m:t>
                  </m:r>
                </m:e>
                <m:sub>
                  <m:r>
                    <m:t>k</m:t>
                  </m:r>
                </m:sub>
              </m:sSub>
            </m:sub>
            <m:sup/>
            <m:e>
              <m:sSubSup>
                <m:e>
                  <m:r>
                    <m:t>N</m:t>
                  </m:r>
                </m:e>
                <m:sub>
                  <m:r>
                    <m:t>d</m:t>
                  </m:r>
                  <m:r>
                    <m:t>c</m:t>
                  </m:r>
                </m:sub>
                <m:sup>
                  <m:r>
                    <m:t>(</m:t>
                  </m:r>
                  <m:r>
                    <m:t>k</m:t>
                  </m:r>
                  <m:r>
                    <m:t>)</m:t>
                  </m:r>
                </m:sup>
              </m:sSubSup>
            </m:e>
          </m:nary>
          <m:r>
            <m:t>(</m:t>
          </m:r>
          <m:sSub>
            <m:e>
              <m:r>
                <m:t>t</m:t>
              </m:r>
            </m:e>
            <m:sub>
              <m:r>
                <m:t>i</m:t>
              </m:r>
            </m:sub>
          </m:sSub>
          <m:r>
            <m:t>)</m:t>
          </m:r>
          <m:r>
            <m:t>.</m:t>
          </m:r>
        </m:oMath>
      </m:oMathPara>
    </w:p>
    <w:p>
      <w:pPr>
        <w:pStyle w:val="FirstParagraph"/>
      </w:pPr>
      <w:r>
        <w:t xml:space="preserve">We get the US Census estimates of the adult population (18 years old or older) by state on July 1, 2020 from a recent data release on December 22, 2020 (after the original analysis was already completed, data accessed on March 25, 2021):</w:t>
      </w:r>
    </w:p>
    <w:p>
      <w:pPr>
        <w:pStyle w:val="BodyText"/>
      </w:pPr>
      <w:hyperlink r:id="rId37">
        <w:r>
          <w:rPr>
            <w:rStyle w:val="Hyperlink"/>
          </w:rPr>
          <w:t xml:space="preserve">https://www2.census.gov/programs-surveys/popest/tables/2010-2020/state/totals/sc-est2020-18+pop-res.xlsx</w:t>
        </w:r>
      </w:hyperlink>
    </w:p>
    <w:p>
      <w:pPr>
        <w:pStyle w:val="BodyText"/>
      </w:pPr>
      <w:r>
        <w:t xml:space="preserve">We use the previously used total US population by date from the Census population clock to get a multiplier for each date. Let</w:t>
      </w:r>
      <w:r>
        <w:t xml:space="preserve"> </w:t>
      </w:r>
      <m:oMath>
        <m:sSub>
          <m:e>
            <m:r>
              <m:t>t</m:t>
            </m:r>
          </m:e>
          <m:sub>
            <m:r>
              <m:t>0</m:t>
            </m:r>
          </m:sub>
        </m:sSub>
      </m:oMath>
      <w:r>
        <w:t xml:space="preserve"> </w:t>
      </w:r>
      <w:r>
        <w:t xml:space="preserve">be July 1, 2020, and let</w:t>
      </w:r>
    </w:p>
    <w:p>
      <w:pPr>
        <w:pStyle w:val="BodyText"/>
      </w:pPr>
      <m:oMathPara>
        <m:oMathParaPr>
          <m:jc m:val="center"/>
        </m:oMathParaPr>
        <m:oMath>
          <m:sSub>
            <m:e>
              <m:r>
                <m:t>b</m:t>
              </m:r>
            </m:e>
            <m:sub>
              <m:r>
                <m:t>t</m:t>
              </m:r>
            </m:sub>
          </m:sSub>
          <m:r>
            <m:t>(</m:t>
          </m:r>
          <m:sSub>
            <m:e>
              <m:r>
                <m:t>t</m:t>
              </m:r>
            </m:e>
            <m:sub>
              <m:r>
                <m:t>i</m:t>
              </m:r>
            </m:sub>
          </m:sSub>
          <m:r>
            <m:t>)</m:t>
          </m:r>
          <m:r>
            <m:t>=</m:t>
          </m:r>
          <m:f>
            <m:fPr>
              <m:type m:val="bar"/>
            </m:fPr>
            <m:num>
              <m:sSub>
                <m:e>
                  <m:r>
                    <m:t>P</m:t>
                  </m:r>
                </m:e>
                <m:sub>
                  <m:r>
                    <m:t>t</m:t>
                  </m:r>
                </m:sub>
              </m:sSub>
              <m:r>
                <m:t>(</m:t>
              </m:r>
              <m:sSub>
                <m:e>
                  <m:r>
                    <m:t>t</m:t>
                  </m:r>
                </m:e>
                <m:sub>
                  <m:r>
                    <m:t>i</m:t>
                  </m:r>
                </m:sub>
              </m:sSub>
              <m:r>
                <m:t>)</m:t>
              </m:r>
            </m:num>
            <m:den>
              <m:sSub>
                <m:e>
                  <m:r>
                    <m:t>P</m:t>
                  </m:r>
                </m:e>
                <m:sub>
                  <m:r>
                    <m:t>t</m:t>
                  </m:r>
                </m:sub>
              </m:sSub>
              <m:r>
                <m:t>(</m:t>
              </m:r>
              <m:sSub>
                <m:e>
                  <m:r>
                    <m:t>t</m:t>
                  </m:r>
                </m:e>
                <m:sub>
                  <m:r>
                    <m:t>0</m:t>
                  </m:r>
                </m:sub>
              </m:sSub>
              <m:r>
                <m:t>)</m:t>
              </m:r>
            </m:den>
          </m:f>
        </m:oMath>
      </m:oMathPara>
    </w:p>
    <w:p>
      <w:pPr>
        <w:pStyle w:val="FirstParagraph"/>
      </w:pPr>
      <w:r>
        <w:t xml:space="preserve">be the total US population at</w:t>
      </w:r>
      <w:r>
        <w:t xml:space="preserve"> </w:t>
      </w:r>
      <m:oMath>
        <m:sSub>
          <m:e>
            <m:r>
              <m:t>t</m:t>
            </m:r>
          </m:e>
          <m:sub>
            <m:r>
              <m:t>i</m:t>
            </m:r>
          </m:sub>
        </m:sSub>
      </m:oMath>
      <w:r>
        <w:t xml:space="preserve"> </w:t>
      </w:r>
      <w:r>
        <w:t xml:space="preserve">as the proportion of the July 1, 2020 total population (by the US census population clock, see above).</w:t>
      </w:r>
      <w:r>
        <w:t xml:space="preserve"> </w:t>
      </w:r>
      <w:r>
        <w:t xml:space="preserve">Let</w:t>
      </w:r>
      <w:r>
        <w:t xml:space="preserve"> </w:t>
      </w:r>
      <m:oMath>
        <m:sSubSup>
          <m:e>
            <m:r>
              <m:t>P</m:t>
            </m:r>
          </m:e>
          <m:sub>
            <m:r>
              <m:t>t</m:t>
            </m:r>
          </m:sub>
          <m:sup>
            <m:r>
              <m:t>(</m:t>
            </m:r>
            <m:r>
              <m:t>k</m:t>
            </m:r>
            <m:r>
              <m:t>)</m:t>
            </m:r>
          </m:sup>
        </m:sSubSup>
        <m:r>
          <m:t>(</m:t>
        </m:r>
        <m:sSub>
          <m:e>
            <m:r>
              <m:t>t</m:t>
            </m:r>
          </m:e>
          <m:sub>
            <m:r>
              <m:t>0</m:t>
            </m:r>
          </m:sub>
        </m:sSub>
        <m:r>
          <m:t>)</m:t>
        </m:r>
      </m:oMath>
      <w:r>
        <w:t xml:space="preserve"> </w:t>
      </w:r>
      <w:r>
        <w:t xml:space="preserve">be the estimated adult US population in region</w:t>
      </w:r>
      <w:r>
        <w:t xml:space="preserve"> </w:t>
      </w:r>
      <m:oMath>
        <m:r>
          <m:t>k</m:t>
        </m:r>
      </m:oMath>
      <w:r>
        <w:t xml:space="preserve"> </w:t>
      </w:r>
      <w:r>
        <w:t xml:space="preserve">(by the Dec 22, 2020 estimate released by the US Census), and we estimate the adult US population in region</w:t>
      </w:r>
      <w:r>
        <w:t xml:space="preserve"> </w:t>
      </w:r>
      <m:oMath>
        <m:r>
          <m:t>k</m:t>
        </m:r>
      </m:oMath>
      <w:r>
        <w:t xml:space="preserve"> </w:t>
      </w:r>
      <w:r>
        <w:t xml:space="preserve">at</w:t>
      </w:r>
      <w:r>
        <w:t xml:space="preserve"> </w:t>
      </w:r>
      <m:oMath>
        <m:sSub>
          <m:e>
            <m:r>
              <m:t>t</m:t>
            </m:r>
          </m:e>
          <m:sub>
            <m:r>
              <m:t>i</m:t>
            </m:r>
          </m:sub>
        </m:sSub>
      </m:oMath>
      <w:r>
        <w:t xml:space="preserve"> </w:t>
      </w:r>
      <w:r>
        <w:t xml:space="preserve">by</w:t>
      </w:r>
      <w:r>
        <w:t xml:space="preserve"> </w:t>
      </w:r>
      <m:oMath>
        <m:sSubSup>
          <m:e>
            <m:r>
              <m:t>P</m:t>
            </m:r>
          </m:e>
          <m:sub>
            <m:r>
              <m:t>t</m:t>
            </m:r>
          </m:sub>
          <m:sup>
            <m:r>
              <m:t>(</m:t>
            </m:r>
            <m:r>
              <m:t>k</m:t>
            </m:r>
            <m:r>
              <m:t>)</m:t>
            </m:r>
          </m:sup>
        </m:sSubSup>
        <m:r>
          <m:t>(</m:t>
        </m:r>
        <m:sSub>
          <m:e>
            <m:r>
              <m:t>t</m:t>
            </m:r>
          </m:e>
          <m:sub>
            <m:r>
              <m:t>i</m:t>
            </m:r>
          </m:sub>
        </m:sSub>
        <m:r>
          <m:t>)</m:t>
        </m:r>
        <m:r>
          <m:t>=</m:t>
        </m:r>
        <m:sSub>
          <m:e>
            <m:r>
              <m:t>b</m:t>
            </m:r>
          </m:e>
          <m:sub>
            <m:r>
              <m:t>t</m:t>
            </m:r>
          </m:sub>
        </m:sSub>
        <m:r>
          <m:t>(</m:t>
        </m:r>
        <m:sSub>
          <m:e>
            <m:r>
              <m:t>t</m:t>
            </m:r>
          </m:e>
          <m:sub>
            <m:r>
              <m:t>i</m:t>
            </m:r>
          </m:sub>
        </m:sSub>
        <m:r>
          <m:t>)</m:t>
        </m:r>
        <m:sSubSup>
          <m:e>
            <m:r>
              <m:t>P</m:t>
            </m:r>
          </m:e>
          <m:sub>
            <m:r>
              <m:t>t</m:t>
            </m:r>
          </m:sub>
          <m:sup>
            <m:r>
              <m:t>(</m:t>
            </m:r>
            <m:r>
              <m:t>k</m:t>
            </m:r>
            <m:r>
              <m:t>)</m:t>
            </m:r>
          </m:sup>
        </m:sSubSup>
        <m:r>
          <m:t>(</m:t>
        </m:r>
        <m:sSub>
          <m:e>
            <m:r>
              <m:t>t</m:t>
            </m:r>
          </m:e>
          <m:sub>
            <m:r>
              <m:t>0</m:t>
            </m:r>
          </m:sub>
        </m:sSub>
        <m:r>
          <m:t>)</m:t>
        </m:r>
      </m:oMath>
      <w:r>
        <w:t xml:space="preserve">.</w:t>
      </w:r>
    </w:p>
    <w:p>
      <w:pPr>
        <w:pStyle w:val="BodyText"/>
      </w:pPr>
      <w:r>
        <w:t xml:space="preserve">The average adult population in region</w:t>
      </w:r>
      <w:r>
        <w:t xml:space="preserve"> </w:t>
      </w:r>
      <m:oMath>
        <m:r>
          <m:t>k</m:t>
        </m:r>
      </m:oMath>
      <w:r>
        <w:t xml:space="preserve"> </w:t>
      </w:r>
      <w:r>
        <w:t xml:space="preserve">is</w:t>
      </w:r>
      <w:r>
        <w:t xml:space="preserve"> </w:t>
      </w:r>
      <m:oMath>
        <m:sSubSup>
          <m:e>
            <m:bar>
              <m:barPr>
                <m:pos m:val="top"/>
              </m:barPr>
              <m:e>
                <m:r>
                  <m:t>P</m:t>
                </m:r>
              </m:e>
            </m:bar>
          </m:e>
          <m:sub>
            <m:r>
              <m:t>t</m:t>
            </m:r>
          </m:sub>
          <m:sup>
            <m:r>
              <m:t>(</m:t>
            </m:r>
            <m:r>
              <m:t>k</m:t>
            </m:r>
            <m:r>
              <m:t>)</m:t>
            </m:r>
          </m:sup>
        </m:sSubSup>
      </m:oMath>
      <w:r>
        <w:t xml:space="preserve">. For all regions,</w:t>
      </w:r>
      <w:r>
        <w:t xml:space="preserve"> </w:t>
      </w:r>
      <m:oMath>
        <m:sSubSup>
          <m:e>
            <m:bar>
              <m:barPr>
                <m:pos m:val="top"/>
              </m:barPr>
              <m:e>
                <m:r>
                  <m:t>P</m:t>
                </m:r>
              </m:e>
            </m:bar>
          </m:e>
          <m:sub>
            <m:r>
              <m:t>t</m:t>
            </m:r>
          </m:sub>
          <m:sup>
            <m:r>
              <m:t>(</m:t>
            </m:r>
            <m:r>
              <m:t>k</m:t>
            </m:r>
            <m:r>
              <m:t>)</m:t>
            </m:r>
          </m:sup>
        </m:sSubSup>
      </m:oMath>
      <w:r>
        <w:t xml:space="preserve"> </w:t>
      </w:r>
      <w:r>
        <w:t xml:space="preserve">in millions is:</w:t>
      </w:r>
    </w:p>
    <w:p>
      <w:pPr>
        <w:pStyle w:val="SourceCode"/>
      </w:pPr>
      <w:r>
        <w:rPr>
          <w:rStyle w:val="VerbatimChar"/>
        </w:rPr>
        <w:t xml:space="preserve">##          Northeast           Mid-West       Mid-Atlantic </w:t>
      </w:r>
      <w:r>
        <w:br w:type="textWrapping"/>
      </w:r>
      <w:r>
        <w:rPr>
          <w:rStyle w:val="VerbatimChar"/>
        </w:rPr>
        <w:t xml:space="preserve">##           44.42434           43.32598           43.68070 </w:t>
      </w:r>
      <w:r>
        <w:br w:type="textWrapping"/>
      </w:r>
      <w:r>
        <w:rPr>
          <w:rStyle w:val="VerbatimChar"/>
        </w:rPr>
        <w:t xml:space="preserve">##      South/Central Mountain/Southwest       West/Pacific </w:t>
      </w:r>
      <w:r>
        <w:br w:type="textWrapping"/>
      </w:r>
      <w:r>
        <w:rPr>
          <w:rStyle w:val="VerbatimChar"/>
        </w:rPr>
        <w:t xml:space="preserve">##           39.50593           41.60494           44.08524</w:t>
      </w:r>
    </w:p>
    <w:p>
      <w:pPr>
        <w:pStyle w:val="FirstParagraph"/>
      </w:pPr>
      <w:r>
        <w:t xml:space="preserve">The average positively confirmed diagnosed cases in region</w:t>
      </w:r>
      <w:r>
        <w:t xml:space="preserve"> </w:t>
      </w:r>
      <m:oMath>
        <m:r>
          <m:t>k</m:t>
        </m:r>
      </m:oMath>
      <w:r>
        <w:t xml:space="preserve"> </w:t>
      </w:r>
      <w:r>
        <w:t xml:space="preserve">is</w:t>
      </w:r>
      <w:r>
        <w:t xml:space="preserve"> </w:t>
      </w:r>
      <m:oMath>
        <m:sSubSup>
          <m:e>
            <m:bar>
              <m:barPr>
                <m:pos m:val="top"/>
              </m:barPr>
              <m:e>
                <m:r>
                  <m:t>N</m:t>
                </m:r>
              </m:e>
            </m:bar>
          </m:e>
          <m:sub>
            <m:r>
              <m:t>d</m:t>
            </m:r>
            <m:r>
              <m:t>c</m:t>
            </m:r>
          </m:sub>
          <m:sup>
            <m:r>
              <m:t>(</m:t>
            </m:r>
            <m:r>
              <m:t>k</m:t>
            </m:r>
            <m:r>
              <m:t>)</m:t>
            </m:r>
          </m:sup>
        </m:sSubSup>
      </m:oMath>
      <w:r>
        <w:t xml:space="preserve">. For all regions,</w:t>
      </w:r>
      <w:r>
        <w:t xml:space="preserve"> </w:t>
      </w:r>
      <m:oMath>
        <m:sSubSup>
          <m:e>
            <m:bar>
              <m:barPr>
                <m:pos m:val="top"/>
              </m:barPr>
              <m:e>
                <m:r>
                  <m:t>N</m:t>
                </m:r>
              </m:e>
            </m:bar>
          </m:e>
          <m:sub>
            <m:r>
              <m:t>t</m:t>
            </m:r>
          </m:sub>
          <m:sup>
            <m:r>
              <m:t>(</m:t>
            </m:r>
            <m:r>
              <m:t>k</m:t>
            </m:r>
            <m:r>
              <m:t>)</m:t>
            </m:r>
          </m:sup>
        </m:sSubSup>
      </m:oMath>
      <w:r>
        <w:t xml:space="preserve"> </w:t>
      </w:r>
      <w:r>
        <w:t xml:space="preserve">per 100,000 is:</w:t>
      </w:r>
    </w:p>
    <w:p>
      <w:pPr>
        <w:pStyle w:val="SourceCode"/>
      </w:pPr>
      <w:r>
        <w:rPr>
          <w:rStyle w:val="VerbatimChar"/>
        </w:rPr>
        <w:t xml:space="preserve">##          Northeast           Mid-West       Mid-Atlantic </w:t>
      </w:r>
      <w:r>
        <w:br w:type="textWrapping"/>
      </w:r>
      <w:r>
        <w:rPr>
          <w:rStyle w:val="VerbatimChar"/>
        </w:rPr>
        <w:t xml:space="preserve">##           7.817734           3.826757           3.049454 </w:t>
      </w:r>
      <w:r>
        <w:br w:type="textWrapping"/>
      </w:r>
      <w:r>
        <w:rPr>
          <w:rStyle w:val="VerbatimChar"/>
        </w:rPr>
        <w:t xml:space="preserve">##      South/Central Mountain/Southwest       West/Pacific </w:t>
      </w:r>
      <w:r>
        <w:br w:type="textWrapping"/>
      </w:r>
      <w:r>
        <w:rPr>
          <w:rStyle w:val="VerbatimChar"/>
        </w:rPr>
        <w:t xml:space="preserve">##           3.389338           3.202991           2.727000</w:t>
      </w:r>
    </w:p>
    <w:p>
      <w:pPr>
        <w:pStyle w:val="FirstParagraph"/>
      </w:pPr>
      <w:r>
        <w:t xml:space="preserve">The factor for the</w:t>
      </w:r>
      <w:r>
        <w:t xml:space="preserve"> </w:t>
      </w:r>
      <m:oMath>
        <m:r>
          <m:t>k</m:t>
        </m:r>
      </m:oMath>
      <w:r>
        <w:t xml:space="preserve">th region is then</w:t>
      </w:r>
      <w:r>
        <w:br w:type="textWrapping"/>
      </w:r>
    </w:p>
    <w:p>
      <w:pPr>
        <w:pStyle w:val="BodyText"/>
      </w:pPr>
      <m:oMathPara>
        <m:oMathParaPr>
          <m:jc m:val="center"/>
        </m:oMathParaPr>
        <m:oMath>
          <m:f>
            <m:fPr>
              <m:type m:val="bar"/>
            </m:fPr>
            <m:num>
              <m:d>
                <m:dPr>
                  <m:begChr m:val="{"/>
                  <m:endChr m:val="}"/>
                  <m:grow/>
                </m:dPr>
                <m:e>
                  <m:sSubSup>
                    <m:e>
                      <m:bar>
                        <m:barPr>
                          <m:pos m:val="top"/>
                        </m:barPr>
                        <m:e>
                          <m:r>
                            <m:t>P</m:t>
                          </m:r>
                        </m:e>
                      </m:bar>
                    </m:e>
                    <m:sub>
                      <m:r>
                        <m:t>t</m:t>
                      </m:r>
                    </m:sub>
                    <m:sup>
                      <m:r>
                        <m:t>(</m:t>
                      </m:r>
                      <m:r>
                        <m:t>k</m:t>
                      </m:r>
                      <m:r>
                        <m:t>)</m:t>
                      </m:r>
                    </m:sup>
                  </m:sSubSup>
                  <m:r>
                    <m:t>−</m:t>
                  </m:r>
                  <m:sSubSup>
                    <m:e>
                      <m:bar>
                        <m:barPr>
                          <m:pos m:val="top"/>
                        </m:barPr>
                        <m:e>
                          <m:r>
                            <m:t>N</m:t>
                          </m:r>
                        </m:e>
                      </m:bar>
                    </m:e>
                    <m:sub>
                      <m:r>
                        <m:t>d</m:t>
                      </m:r>
                      <m:r>
                        <m:t>c</m:t>
                      </m:r>
                    </m:sub>
                    <m:sup>
                      <m:r>
                        <m:t>(</m:t>
                      </m:r>
                      <m:r>
                        <m:t>k</m:t>
                      </m:r>
                      <m:r>
                        <m:t>)</m:t>
                      </m:r>
                    </m:sup>
                  </m:sSubSup>
                </m:e>
              </m:d>
            </m:num>
            <m:den>
              <m:sSubSup>
                <m:e>
                  <m:bar>
                    <m:barPr>
                      <m:pos m:val="top"/>
                    </m:barPr>
                    <m:e>
                      <m:r>
                        <m:t>N</m:t>
                      </m:r>
                    </m:e>
                  </m:bar>
                </m:e>
                <m:sub>
                  <m:r>
                    <m:t>d</m:t>
                  </m:r>
                  <m:r>
                    <m:t>c</m:t>
                  </m:r>
                </m:sub>
                <m:sup>
                  <m:r>
                    <m:t>(</m:t>
                  </m:r>
                  <m:r>
                    <m:t>k</m:t>
                  </m:r>
                  <m:r>
                    <m:t>)</m:t>
                  </m:r>
                </m:sup>
              </m:sSubSup>
            </m:den>
          </m:f>
        </m:oMath>
      </m:oMathPara>
    </w:p>
    <w:p>
      <w:pPr>
        <w:pStyle w:val="FirstParagraph"/>
      </w:pPr>
      <w:r>
        <w:t xml:space="preserve">, and for all regions are:</w:t>
      </w:r>
    </w:p>
    <w:p>
      <w:pPr>
        <w:pStyle w:val="SourceCode"/>
      </w:pPr>
      <w:r>
        <w:rPr>
          <w:rStyle w:val="VerbatimChar"/>
        </w:rPr>
        <w:t xml:space="preserve">##          Northeast           Mid-West       Mid-Atlantic </w:t>
      </w:r>
      <w:r>
        <w:br w:type="textWrapping"/>
      </w:r>
      <w:r>
        <w:rPr>
          <w:rStyle w:val="VerbatimChar"/>
        </w:rPr>
        <w:t xml:space="preserve">##           55.82508          112.21855          142.24106 </w:t>
      </w:r>
      <w:r>
        <w:br w:type="textWrapping"/>
      </w:r>
      <w:r>
        <w:rPr>
          <w:rStyle w:val="VerbatimChar"/>
        </w:rPr>
        <w:t xml:space="preserve">##      South/Central Mountain/Southwest       West/Pacific </w:t>
      </w:r>
      <w:r>
        <w:br w:type="textWrapping"/>
      </w:r>
      <w:r>
        <w:rPr>
          <w:rStyle w:val="VerbatimChar"/>
        </w:rPr>
        <w:t xml:space="preserve">##          115.55943          128.89402          160.66205</w:t>
      </w:r>
    </w:p>
    <w:p>
      <w:pPr>
        <w:pStyle w:val="FirstParagraph"/>
      </w:pPr>
      <w:r>
        <w:t xml:space="preserve">which gives estimates and 95% confidence intervals for the rate of undiagnosed infections to diagnosed cases:</w:t>
      </w:r>
    </w:p>
    <w:p>
      <w:pPr>
        <w:pStyle w:val="SourceCode"/>
      </w:pPr>
      <w:r>
        <w:rPr>
          <w:rStyle w:val="VerbatimChar"/>
        </w:rPr>
        <w:t xml:space="preserve">##                     estimate   lowerCL   upperCL</w:t>
      </w:r>
      <w:r>
        <w:br w:type="textWrapping"/>
      </w:r>
      <w:r>
        <w:rPr>
          <w:rStyle w:val="VerbatimChar"/>
        </w:rPr>
        <w:t xml:space="preserve">## Northeast           4.203678 2.1619174  6.919079</w:t>
      </w:r>
      <w:r>
        <w:br w:type="textWrapping"/>
      </w:r>
      <w:r>
        <w:rPr>
          <w:rStyle w:val="VerbatimChar"/>
        </w:rPr>
        <w:t xml:space="preserve">## Mid-West            1.803324 0.2895957  2.652427</w:t>
      </w:r>
      <w:r>
        <w:br w:type="textWrapping"/>
      </w:r>
      <w:r>
        <w:rPr>
          <w:rStyle w:val="VerbatimChar"/>
        </w:rPr>
        <w:t xml:space="preserve">## Mid-Atlantic       12.240064 3.6481035 26.937484</w:t>
      </w:r>
      <w:r>
        <w:br w:type="textWrapping"/>
      </w:r>
      <w:r>
        <w:rPr>
          <w:rStyle w:val="VerbatimChar"/>
        </w:rPr>
        <w:t xml:space="preserve">## South/Central       3.469510 1.3306647  5.754103</w:t>
      </w:r>
      <w:r>
        <w:br w:type="textWrapping"/>
      </w:r>
      <w:r>
        <w:rPr>
          <w:rStyle w:val="VerbatimChar"/>
        </w:rPr>
        <w:t xml:space="preserve">## Mountain/Southwest  5.807361 1.6877712 12.221662</w:t>
      </w:r>
      <w:r>
        <w:br w:type="textWrapping"/>
      </w:r>
      <w:r>
        <w:rPr>
          <w:rStyle w:val="VerbatimChar"/>
        </w:rPr>
        <w:t xml:space="preserve">## West/Pacific        3.012590 0.2909921  6.082894</w:t>
      </w:r>
    </w:p>
    <w:p>
      <w:pPr>
        <w:pStyle w:val="Heading2"/>
      </w:pPr>
      <w:bookmarkStart w:id="38" w:name="references"/>
      <w:bookmarkEnd w:id="38"/>
      <w:r>
        <w:t xml:space="preserve">References</w:t>
      </w:r>
    </w:p>
    <w:p>
      <w:pPr>
        <w:pStyle w:val="FirstParagraph"/>
      </w:pPr>
      <w:r>
        <w:t xml:space="preserve">Leeb RT, Price S, Sliwa S, et al. COVID-19 Trends Among School-Aged Children — United States, March 1–September 19, 2020. MMWR Morb Mortal Wkly Rep 2020;69:1410–1415. DOI:</w:t>
      </w:r>
      <w:r>
        <w:t xml:space="preserve"> </w:t>
      </w:r>
      <w:hyperlink r:id="rId39">
        <w:r>
          <w:rPr>
            <w:rStyle w:val="Hyperlink"/>
          </w:rPr>
          <w:t xml:space="preserve">http://dx.doi.org/10.15585/mmwr.mm6939e2external</w:t>
        </w:r>
      </w:hyperlink>
    </w:p>
    <w:p>
      <w:pPr>
        <w:pStyle w:val="BodyText"/>
      </w:pPr>
      <w:r>
        <w:t xml:space="preserve">US Census (2020). U.S. and World Population Clock at</w:t>
      </w:r>
      <w:r>
        <w:t xml:space="preserve"> </w:t>
      </w:r>
      <w:hyperlink r:id="rId40">
        <w:r>
          <w:rPr>
            <w:rStyle w:val="Hyperlink"/>
          </w:rPr>
          <w:t xml:space="preserve">https://www.census.gov/popclock/</w:t>
        </w:r>
      </w:hyperlink>
      <w:r>
        <w:t xml:space="preserve"> </w:t>
      </w:r>
      <w:r>
        <w:t xml:space="preserve">(accessed on December 12, 2020).</w:t>
      </w:r>
    </w:p>
    <w:p>
      <w:pPr>
        <w:pStyle w:val="BodyText"/>
      </w:pPr>
      <w:r>
        <w:t xml:space="preserve">US Census (2020b). "Estimates of the Total Resident Population and Resident Population Age 18 Years and Older for the United States, Regions, States, and the District of Columbia: July 1, 2020 (SC-EST2020-18+POP-RES)"</w:t>
      </w:r>
      <w:r>
        <w:t xml:space="preserve"> </w:t>
      </w:r>
      <w:hyperlink r:id="rId37">
        <w:r>
          <w:rPr>
            <w:rStyle w:val="Hyperlink"/>
          </w:rPr>
          <w:t xml:space="preserve">https://www2.census.gov/programs-surveys/popest/tables/2010-2020/state/totals/sc-est2020-18+pop-res.xlsx</w:t>
        </w:r>
      </w:hyperlink>
      <w:r>
        <w:t xml:space="preserve"> </w:t>
      </w:r>
      <w:r>
        <w:t xml:space="preserve">(accessed on March 25, 2021).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34ab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95d2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39" Target="http://dx.doi.org/10.15585/mmwr.mm6939e2external" TargetMode="External" /><Relationship Type="http://schemas.openxmlformats.org/officeDocument/2006/relationships/hyperlink" Id="rId40" Target="https://www.census.gov/popclock/" TargetMode="External" /><Relationship Type="http://schemas.openxmlformats.org/officeDocument/2006/relationships/hyperlink" Id="rId37" Target="https://www2.census.gov/programs-surveys/popest/tables/2010-2020/state/totals/sc-est2020-18+pop-res.xlsx"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5585/mmwr.mm6939e2external" TargetMode="External" /><Relationship Type="http://schemas.openxmlformats.org/officeDocument/2006/relationships/hyperlink" Id="rId40" Target="https://www.census.gov/popclock/" TargetMode="External" /><Relationship Type="http://schemas.openxmlformats.org/officeDocument/2006/relationships/hyperlink" Id="rId37" Target="https://www2.census.gov/programs-surveys/popest/tables/2010-2020/state/totals/sc-est2020-18+pop-re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 of Counts of Undiagnosed+Seropositive Over Diagnosed</dc:title>
  <dc:creator>Michael Fay</dc:creator>
  <dcterms:created xsi:type="dcterms:W3CDTF">2021-03-26T19:25:52Z</dcterms:created>
  <dcterms:modified xsi:type="dcterms:W3CDTF">2021-03-26T19:25:52Z</dcterms:modified>
</cp:coreProperties>
</file>