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required (rating and specification of each component)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 of working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diagram and description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diagram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circuit and components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 and disadvantage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result(photo)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during designing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the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Main processor used  is nrf52840 is  NINA B3X package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Bluetooth 5 ready multi-protocol radio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- 2Mbps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Long range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Advertising extensions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Improved coexistence (CSA #2)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IEEE 802.15.4 radio support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Thread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- Zigbee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32-bit ARM Cortex-M4F @ 64MHz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Up to 111 dB link budget for Bluetooth long range mode  Full-speed 12Mbs USB controller  NFC Tag-A  Software stacks available as downloads  Application development independent of protocol stack  Programmable output power from +8dBm to -20dBm  -96dBm Sensitivity for Bluetooth low energy  On-air compatible with nRF51, nRF24L and nRF24AP Series  Arm CryptoCell CC310 crytographic security module  High-precision RSSI  Wide supply voltage range + 1.7V to 5.5V  QSPI/SPI/2-wire/I²S/PDM/QDEC  Programmable Peripheral Interface - PPI  High speed SPI interface 32MHz  Quad SPI interface 32MHz  EasyDMA for all digital interfaces  RAM mapped FIFO using EasyDMA  12bit/200K SPS ADC  128 bit AES/ECB/CCM/AAR co-processor  Single-ended antenna output (on-chip balun)  On-chip DC-DC buck converter  Quadrature demodulator  Regulated supply for external components up to 25mA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