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to Education Records</w:t>
        <w:tab/>
        <w:t xml:space="preserve">7 sentences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FERPA, a school must provide an eligible student with an opportunity to inspect and review his or her education records within 45 days following its receipt of a request.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school is required to provide an eligible student with copies of education records, or make other arrangements, if a failure to do so would effectively prevent the student from obtaining access to the records.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case in point would be a situation in which the student does not live within commuting distance of the school.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school is not generally required by FERPA to provide an eligible student with access to academic calendars, course syllabi, or general notices such as announcements of specific events or extra-curricular activities.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type of information is not generally directly related to an individual student and, therefore, does not meet the definition of an education record.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FERPA, a school is not required to provide information that is not maintained or to create education records in response to an eligible student's request.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Accordingly, a school is not required to provide an eligible student with updates on his or her progress in a course (including grade reports) or in school unless such information already exists in the form of an education record.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AcER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AcER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AcER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AcER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AcER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AcER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AcER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AcER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AcER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