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D2B25" w14:textId="77777777" w:rsidR="0077545E" w:rsidRDefault="00000000">
      <w:pPr>
        <w:spacing w:before="80" w:after="60"/>
      </w:pPr>
      <w:r>
        <w:rPr>
          <w:b/>
          <w:color w:val="2E74B5"/>
          <w:sz w:val="18"/>
        </w:rPr>
        <w:t>TECHNICAL NOTE</w:t>
      </w:r>
    </w:p>
    <w:p w14:paraId="152CD886" w14:textId="77777777" w:rsidR="0077545E" w:rsidRDefault="00000000">
      <w:pPr>
        <w:spacing w:after="60"/>
      </w:pPr>
      <w:r>
        <w:rPr>
          <w:b/>
          <w:color w:val="1B2631"/>
          <w:sz w:val="44"/>
        </w:rPr>
        <w:t>Phase-Specific Energy per Token for LLaMA-3 8B</w:t>
      </w:r>
    </w:p>
    <w:p w14:paraId="747B5B5A" w14:textId="13960CE8" w:rsidR="0077545E" w:rsidRDefault="00D163A2">
      <w:pPr>
        <w:spacing w:after="140"/>
      </w:pPr>
      <w:r>
        <w:rPr>
          <w:i/>
          <w:color w:val="555F69"/>
          <w:sz w:val="23"/>
        </w:rPr>
        <w:t>E</w:t>
      </w:r>
      <w:r w:rsidR="00000000">
        <w:rPr>
          <w:i/>
          <w:color w:val="555F69"/>
          <w:sz w:val="23"/>
        </w:rPr>
        <w:t>stimat</w:t>
      </w:r>
      <w:r>
        <w:rPr>
          <w:i/>
          <w:color w:val="555F69"/>
          <w:sz w:val="23"/>
        </w:rPr>
        <w:t>ion</w:t>
      </w:r>
      <w:r w:rsidR="00000000">
        <w:rPr>
          <w:i/>
          <w:color w:val="555F69"/>
          <w:sz w:val="23"/>
        </w:rPr>
        <w:t>s for an NVIDIA A100 server and a OnePlus 13-class edge platform</w:t>
      </w:r>
    </w:p>
    <w:p w14:paraId="3B6C8142" w14:textId="4696E02A" w:rsidR="0077545E" w:rsidRDefault="00000000">
      <w:pPr>
        <w:spacing w:after="180"/>
      </w:pPr>
      <w:r>
        <w:rPr>
          <w:color w:val="555F69"/>
          <w:sz w:val="17"/>
        </w:rPr>
        <w:t>September 1, 2026  |  Values rounded to two significant digits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2000"/>
        <w:gridCol w:w="2760"/>
      </w:tblGrid>
      <w:tr w:rsidR="0077545E" w14:paraId="71D21B96" w14:textId="77777777">
        <w:trPr>
          <w:tblHeader/>
        </w:trPr>
        <w:tc>
          <w:tcPr>
            <w:tcW w:w="27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79AAA" w14:textId="77777777" w:rsidR="0077545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Platform / mode</w:t>
            </w:r>
          </w:p>
        </w:tc>
        <w:tc>
          <w:tcPr>
            <w:tcW w:w="19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555DB" w14:textId="77777777" w:rsidR="0077545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Prefill</w:t>
            </w:r>
            <w:r>
              <w:rPr>
                <w:b/>
                <w:color w:val="FFFFFF"/>
                <w:sz w:val="18"/>
              </w:rPr>
              <w:br/>
              <w:t>J per input token</w:t>
            </w:r>
          </w:p>
        </w:tc>
        <w:tc>
          <w:tcPr>
            <w:tcW w:w="20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B9430" w14:textId="77777777" w:rsidR="0077545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Decode</w:t>
            </w:r>
            <w:r>
              <w:rPr>
                <w:b/>
                <w:color w:val="FFFFFF"/>
                <w:sz w:val="18"/>
              </w:rPr>
              <w:br/>
              <w:t>J per output token</w:t>
            </w:r>
          </w:p>
        </w:tc>
        <w:tc>
          <w:tcPr>
            <w:tcW w:w="27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E947" w14:textId="77777777" w:rsidR="0077545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Evidence status</w:t>
            </w:r>
          </w:p>
        </w:tc>
      </w:tr>
      <w:tr w:rsidR="0077545E" w14:paraId="24E46BC7" w14:textId="77777777">
        <w:tc>
          <w:tcPr>
            <w:tcW w:w="2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93EAF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A100 80GB, batch 1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67658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≈0.017</w:t>
            </w:r>
          </w:p>
        </w:tc>
        <w:tc>
          <w:tcPr>
            <w:tcW w:w="2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705B5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≈3.1</w:t>
            </w:r>
          </w:p>
        </w:tc>
        <w:tc>
          <w:tcPr>
            <w:tcW w:w="2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2AE44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Cross-study estimate</w:t>
            </w:r>
          </w:p>
        </w:tc>
      </w:tr>
      <w:tr w:rsidR="0077545E" w14:paraId="7C0896B4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77B8B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A100, throughput-oriented serving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B83EC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not isolated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0DB51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≈0.18–0.27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A5916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Direct aggregate measurement</w:t>
            </w:r>
          </w:p>
        </w:tc>
      </w:tr>
      <w:tr w:rsidR="0077545E" w14:paraId="200FBB49" w14:textId="77777777">
        <w:tc>
          <w:tcPr>
            <w:tcW w:w="2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A5EF0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OnePlus 13-class, batch 1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91E71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≈0.013</w:t>
            </w:r>
          </w:p>
        </w:tc>
        <w:tc>
          <w:tcPr>
            <w:tcW w:w="2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19543" w14:textId="77777777" w:rsidR="0077545E" w:rsidRDefault="00000000">
            <w:pPr>
              <w:jc w:val="center"/>
            </w:pPr>
            <w:r>
              <w:rPr>
                <w:b/>
                <w:color w:val="1B2631"/>
                <w:sz w:val="17"/>
              </w:rPr>
              <w:t>≈0.28</w:t>
            </w:r>
          </w:p>
        </w:tc>
        <w:tc>
          <w:tcPr>
            <w:tcW w:w="2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81EBB" w14:textId="77777777" w:rsidR="0077545E" w:rsidRDefault="00000000">
            <w:pPr>
              <w:jc w:val="left"/>
            </w:pPr>
            <w:r>
              <w:rPr>
                <w:color w:val="1B2631"/>
                <w:sz w:val="17"/>
              </w:rPr>
              <w:t>Same-SoC transfer estimate</w:t>
            </w:r>
          </w:p>
        </w:tc>
      </w:tr>
    </w:tbl>
    <w:p w14:paraId="1690A0B6" w14:textId="77777777" w:rsidR="0077545E" w:rsidRDefault="00000000">
      <w:pPr>
        <w:spacing w:before="60" w:after="100"/>
      </w:pPr>
      <w:r>
        <w:rPr>
          <w:i/>
          <w:color w:val="555F69"/>
          <w:sz w:val="16"/>
        </w:rPr>
        <w:t>Table 1. Recommended phase-specific values. “OnePlus 13-class” is not a direct OnePlus 13 power measurement.</w:t>
      </w:r>
    </w:p>
    <w:p w14:paraId="45721AA4" w14:textId="77777777" w:rsidR="0077545E" w:rsidRDefault="00000000">
      <w:pPr>
        <w:pStyle w:val="Heading1"/>
      </w:pPr>
      <w:r>
        <w:rPr>
          <w:rFonts w:ascii="Calibri" w:hAnsi="Calibri"/>
        </w:rPr>
        <w:t>1. Method and Scope</w:t>
      </w:r>
    </w:p>
    <w:p w14:paraId="4574EC14" w14:textId="77777777" w:rsidR="0077545E" w:rsidRDefault="00000000">
      <w:r>
        <w:rPr>
          <w:color w:val="1B2631"/>
          <w:sz w:val="22"/>
        </w:rPr>
        <w:t>The prefill phase processes all prompt tokens in parallel, whereas decode generates output tokens autoregressively. The phase-specific energy intensity is calculated from average phase power P and phase throughput R:</w:t>
      </w:r>
    </w:p>
    <w:p w14:paraId="3191A7B0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E</w:t>
      </w:r>
      <w:r w:rsidRPr="00D163A2">
        <w:rPr>
          <w:rFonts w:ascii="Cambria Math" w:hAnsi="Cambria Math"/>
          <w:b/>
          <w:color w:val="1F4D78"/>
          <w:vertAlign w:val="subscript"/>
        </w:rPr>
        <w:t>prefill</w:t>
      </w:r>
      <w:r>
        <w:rPr>
          <w:rFonts w:ascii="Cambria Math" w:hAnsi="Cambria Math"/>
          <w:b/>
          <w:color w:val="1F4D78"/>
        </w:rPr>
        <w:t>/token = P</w:t>
      </w:r>
      <w:r w:rsidRPr="00D163A2">
        <w:rPr>
          <w:rFonts w:ascii="Cambria Math" w:hAnsi="Cambria Math"/>
          <w:b/>
          <w:color w:val="1F4D78"/>
          <w:vertAlign w:val="subscript"/>
        </w:rPr>
        <w:t>prefill</w:t>
      </w:r>
      <w:r>
        <w:rPr>
          <w:rFonts w:ascii="Cambria Math" w:hAnsi="Cambria Math"/>
          <w:b/>
          <w:color w:val="1F4D78"/>
        </w:rPr>
        <w:t xml:space="preserve"> / R</w:t>
      </w:r>
      <w:r w:rsidRPr="00D163A2">
        <w:rPr>
          <w:rFonts w:ascii="Cambria Math" w:hAnsi="Cambria Math"/>
          <w:b/>
          <w:color w:val="1F4D78"/>
          <w:vertAlign w:val="subscript"/>
        </w:rPr>
        <w:t>prefill</w:t>
      </w:r>
      <w:r>
        <w:rPr>
          <w:rFonts w:ascii="Cambria Math" w:hAnsi="Cambria Math"/>
          <w:b/>
          <w:color w:val="1F4D78"/>
        </w:rPr>
        <w:t xml:space="preserve">     and     E</w:t>
      </w:r>
      <w:r w:rsidRPr="00D163A2">
        <w:rPr>
          <w:rFonts w:ascii="Cambria Math" w:hAnsi="Cambria Math"/>
          <w:b/>
          <w:color w:val="1F4D78"/>
          <w:vertAlign w:val="subscript"/>
        </w:rPr>
        <w:t>decode</w:t>
      </w:r>
      <w:r>
        <w:rPr>
          <w:rFonts w:ascii="Cambria Math" w:hAnsi="Cambria Math"/>
          <w:b/>
          <w:color w:val="1F4D78"/>
        </w:rPr>
        <w:t>/token = P</w:t>
      </w:r>
      <w:r w:rsidRPr="00D163A2">
        <w:rPr>
          <w:rFonts w:ascii="Cambria Math" w:hAnsi="Cambria Math"/>
          <w:b/>
          <w:color w:val="1F4D78"/>
          <w:vertAlign w:val="subscript"/>
        </w:rPr>
        <w:t>decode</w:t>
      </w:r>
      <w:r>
        <w:rPr>
          <w:rFonts w:ascii="Cambria Math" w:hAnsi="Cambria Math"/>
          <w:b/>
          <w:color w:val="1F4D78"/>
        </w:rPr>
        <w:t xml:space="preserve"> / R</w:t>
      </w:r>
      <w:r w:rsidRPr="00D163A2">
        <w:rPr>
          <w:rFonts w:ascii="Cambria Math" w:hAnsi="Cambria Math"/>
          <w:b/>
          <w:color w:val="1F4D78"/>
          <w:vertAlign w:val="subscript"/>
        </w:rPr>
        <w:t>decode</w:t>
      </w:r>
    </w:p>
    <w:p w14:paraId="3BDADE68" w14:textId="77777777" w:rsidR="0077545E" w:rsidRDefault="00000000">
      <w:r>
        <w:rPr>
          <w:color w:val="1B2631"/>
          <w:sz w:val="22"/>
        </w:rPr>
        <w:t>The numerator and denominator must refer to the same phase, model, precision, backend, batching policy, and power scope. The estimates below retain those conditions where possible and explicitly label cross-study or cross-device transfers. They should not be interpreted as hardware constants.</w:t>
      </w:r>
    </w:p>
    <w:p w14:paraId="569322F5" w14:textId="77777777" w:rsidR="0077545E" w:rsidRDefault="00000000">
      <w:pPr>
        <w:pStyle w:val="Heading1"/>
      </w:pPr>
      <w:r>
        <w:rPr>
          <w:rFonts w:ascii="Calibri" w:hAnsi="Calibri"/>
        </w:rPr>
        <w:t>2. NVIDIA A100 Server Estimate</w:t>
      </w:r>
    </w:p>
    <w:p w14:paraId="65B0EF69" w14:textId="77777777" w:rsidR="0077545E" w:rsidRDefault="00000000">
      <w:r>
        <w:rPr>
          <w:color w:val="1B2631"/>
          <w:sz w:val="22"/>
        </w:rPr>
        <w:t>Configuration. One NVIDIA A100-SXM4 80GB GPU, LLaMA-3 8B in FP16/BF16, SGLang, batch size 1, and a 4K context. WaferLLM reports 13,988 input tokens/s for prefill and 78 output tokens/s for decode on this baseline [1]. OASIS independently measures 239.4 W average GPU power for LLaMA-3 8B on an A100 at 1320 MHz [2].</w:t>
      </w:r>
    </w:p>
    <w:p w14:paraId="4FDD8A40" w14:textId="77777777" w:rsidR="0077545E" w:rsidRDefault="00000000">
      <w:r>
        <w:rPr>
          <w:color w:val="1B2631"/>
          <w:sz w:val="22"/>
        </w:rPr>
        <w:t>Prefill estimate. Applying the measured A100 power to the reported prefill throughput gives:</w:t>
      </w:r>
    </w:p>
    <w:p w14:paraId="010DA3CD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239.4 W / 13,988 input token s⁻¹ = 0.0171 J per input token</w:t>
      </w:r>
    </w:p>
    <w:p w14:paraId="0351AE31" w14:textId="77777777" w:rsidR="0077545E" w:rsidRDefault="00000000">
      <w:r>
        <w:rPr>
          <w:color w:val="1B2631"/>
          <w:sz w:val="22"/>
        </w:rPr>
        <w:t>Decode estimate. For an interactive single-request workload:</w:t>
      </w:r>
    </w:p>
    <w:p w14:paraId="6F94428D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239.4 W / 78 output token s⁻¹ = 3.07 J per output token</w:t>
      </w:r>
    </w:p>
    <w:p w14:paraId="25C9FBC4" w14:textId="77777777" w:rsidR="0077545E" w:rsidRDefault="00000000">
      <w:r>
        <w:rPr>
          <w:color w:val="1B2631"/>
          <w:sz w:val="22"/>
        </w:rPr>
        <w:t>The decode estimate is deliberately labeled cross-study: the throughput and power were not measured in the same run. A reasonable uncertainty interval is approximately 2–3.5 J/output token. Under high concurrency, the result changes substantially. OASIS directly reports 261.7 mJ/token at 1320 MHz and 171.5 mJ/token at 855 MHz, because GPU power is amortized across 847–915 aggregate tokens/s [2]. These aggregate serving values are not phase-isolated batch-one measurements.</w:t>
      </w:r>
    </w:p>
    <w:p w14:paraId="50CC65F2" w14:textId="77777777" w:rsidR="0077545E" w:rsidRDefault="00000000">
      <w:pPr>
        <w:pStyle w:val="Heading1"/>
      </w:pPr>
      <w:r>
        <w:rPr>
          <w:rFonts w:ascii="Calibri" w:hAnsi="Calibri"/>
        </w:rPr>
        <w:lastRenderedPageBreak/>
        <w:t>3. OnePlus 13-Class Edge Estimate</w:t>
      </w:r>
    </w:p>
    <w:p w14:paraId="4C6FC34A" w14:textId="77777777" w:rsidR="0077545E" w:rsidRDefault="00000000">
      <w:r>
        <w:rPr>
          <w:color w:val="1B2631"/>
          <w:sz w:val="22"/>
        </w:rPr>
        <w:t>Configuration. The OnePlus 13 contains a Snapdragon 8 Elite SoC [4]. The closest phase-resolved public evidence is HeteroInfer, which evaluates a LLaMA-8B/LLaMA-3.1-8B-class model using W4A16 weight-only quantization, batch size 1, and a GPU–NPU heterogeneous backend [3,5]. Most power results were obtained on Snapdragon 8 Gen 3; the paper separately measures Snapdragon 8 Elite performance. Therefore, the following values are transfer estimates rather than direct OnePlus 13 measurements.</w:t>
      </w:r>
    </w:p>
    <w:p w14:paraId="76A3C792" w14:textId="77777777" w:rsidR="0077545E" w:rsidRDefault="00000000">
      <w:r>
        <w:rPr>
          <w:color w:val="1B2631"/>
          <w:sz w:val="22"/>
        </w:rPr>
        <w:t>Prefill. HeteroInfer reports 236.92 input tokens/s for a 256-token prompt on Snapdragon 8 Gen 3 and approximately 10.5% higher prefill performance on Snapdragon 8 Elite [3]. Thus:</w:t>
      </w:r>
    </w:p>
    <w:p w14:paraId="042C1624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R8 Elite,prefill ≈ 236.92 × 1.105 = 261.8 input tokens/s</w:t>
      </w:r>
    </w:p>
    <w:p w14:paraId="2A5A1E59" w14:textId="77777777" w:rsidR="0077545E" w:rsidRDefault="00000000">
      <w:r>
        <w:rPr>
          <w:color w:val="1B2631"/>
          <w:sz w:val="22"/>
        </w:rPr>
        <w:t>Digitizing the Hetero-tensor prefill power bar in Figure 20 gives approximately 3.3 W. Transferring that power to the Snapdragon 8 Elite throughput yields:</w:t>
      </w:r>
    </w:p>
    <w:p w14:paraId="5E4B09CE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3.3 W / 261.8 input token s⁻¹ = 0.0126 J per input token</w:t>
      </w:r>
    </w:p>
    <w:p w14:paraId="7FC41CFE" w14:textId="77777777" w:rsidR="0077545E" w:rsidRDefault="00000000">
      <w:r>
        <w:rPr>
          <w:color w:val="1B2631"/>
          <w:sz w:val="22"/>
        </w:rPr>
        <w:t>Decode. HeteroInfer reports 14.01 output tokens/s for LLaMA-8B and states that decode performance remains similar on Snapdragon 8 Elite because the tested platforms have similar effective memory bandwidth [3]. Figure 20 indicates approximately 3.9–4.0 W during heterogeneous decode. Therefore:</w:t>
      </w:r>
    </w:p>
    <w:p w14:paraId="21993177" w14:textId="77777777" w:rsidR="0077545E" w:rsidRDefault="00000000">
      <w:pPr>
        <w:spacing w:before="40" w:after="100"/>
        <w:jc w:val="center"/>
      </w:pPr>
      <w:r>
        <w:rPr>
          <w:rFonts w:ascii="Cambria Math" w:hAnsi="Cambria Math"/>
          <w:b/>
          <w:color w:val="1F4D78"/>
        </w:rPr>
        <w:t>(3.9–4.0) W / 14.01 output token s⁻¹ = 0.278–0.286 J per output token</w:t>
      </w:r>
    </w:p>
    <w:p w14:paraId="0D0B5902" w14:textId="77777777" w:rsidR="0077545E" w:rsidRDefault="00000000">
      <w:r>
        <w:rPr>
          <w:color w:val="1B2631"/>
          <w:sz w:val="22"/>
        </w:rPr>
        <w:t>Recommended reporting ranges are 0.010–0.018 J/input token for prefill and 0.25–0.35 J/output token for decode. The ranges cover plot digitization, device-specific thermal behavior, and transferring Snapdragon 8 Gen 3 power to the Snapdragon 8 Elite-based OnePlus 13.</w:t>
      </w:r>
    </w:p>
    <w:p w14:paraId="07624CBD" w14:textId="77777777" w:rsidR="0077545E" w:rsidRDefault="00000000">
      <w:pPr>
        <w:pStyle w:val="Heading1"/>
      </w:pPr>
      <w:r>
        <w:rPr>
          <w:rFonts w:ascii="Calibri" w:hAnsi="Calibri"/>
        </w:rPr>
        <w:t>4. Interpretation and Reporting Guidance</w:t>
      </w:r>
    </w:p>
    <w:p w14:paraId="6126AC2D" w14:textId="77777777" w:rsidR="0077545E" w:rsidRDefault="00000000">
      <w:r>
        <w:rPr>
          <w:color w:val="1B2631"/>
          <w:sz w:val="22"/>
        </w:rPr>
        <w:t>For batch-one interactive inference, the A100 processes prompts dramatically faster, but its decode energy is dominated by low GPU utilization. The phone is much slower but draws only about 4 W, producing an estimated decode energy roughly one order of magnitude below a batch-one A100. With production batching, however, the A100 amortizes its power across many concurrent sequences and approaches 0.18–0.27 J/token—comparable to the mobile estimate. Consequently, any proposal comparison should state batch size, context length, precision, backend, and whether power covers the accelerator or the whole device.</w:t>
      </w:r>
    </w:p>
    <w:p w14:paraId="23A8190F" w14:textId="77777777" w:rsidR="0077545E" w:rsidRDefault="00000000">
      <w:pPr>
        <w:pBdr>
          <w:top w:val="single" w:sz="6" w:space="5" w:color="AAB4BE"/>
          <w:left w:val="single" w:sz="6" w:space="5" w:color="AAB4BE"/>
          <w:bottom w:val="single" w:sz="6" w:space="5" w:color="AAB4BE"/>
          <w:right w:val="single" w:sz="6" w:space="5" w:color="AAB4BE"/>
        </w:pBdr>
        <w:shd w:val="clear" w:color="auto" w:fill="F4F6F9"/>
        <w:spacing w:before="80" w:after="100"/>
        <w:ind w:left="58" w:right="58"/>
      </w:pPr>
      <w:r>
        <w:rPr>
          <w:b/>
          <w:color w:val="1F4D78"/>
          <w:sz w:val="18"/>
        </w:rPr>
        <w:t xml:space="preserve">Recommended proposal wording. </w:t>
      </w:r>
      <w:r>
        <w:rPr>
          <w:color w:val="1B2631"/>
          <w:sz w:val="18"/>
        </w:rPr>
        <w:t>For LLaMA-3 8B, we estimate approximately 0.017 J/input token and 3.1 J/output token on a batch-one A100, versus approximately 0.013 J/input token and 0.28 J/output token on a OnePlus 13-class Snapdragon 8 Elite platform. These are configuration-specific, literature-grounded estimates; the mobile values are not direct OnePlus 13 measurements, and batched A100 serving can reduce output-token energy to approximately 0.18–0.27 J/token.</w:t>
      </w:r>
    </w:p>
    <w:p w14:paraId="02D61EB5" w14:textId="77777777" w:rsidR="0077545E" w:rsidRDefault="00000000">
      <w:pPr>
        <w:pStyle w:val="Heading1"/>
      </w:pPr>
      <w:r>
        <w:rPr>
          <w:rFonts w:ascii="Calibri" w:hAnsi="Calibri"/>
        </w:rPr>
        <w:t>References</w:t>
      </w:r>
    </w:p>
    <w:p w14:paraId="6B64B974" w14:textId="77777777" w:rsidR="0077545E" w:rsidRDefault="00000000">
      <w:pPr>
        <w:spacing w:after="40" w:line="240" w:lineRule="auto"/>
        <w:ind w:left="259" w:hanging="259"/>
      </w:pPr>
      <w:r>
        <w:rPr>
          <w:color w:val="1B2631"/>
          <w:sz w:val="16"/>
        </w:rPr>
        <w:t xml:space="preserve">[1] He et al., “WaferLLM: Large Language Model Inference at Wafer Scale,” OSDI 2025, Tables 7–8. </w:t>
      </w:r>
      <w:hyperlink r:id="rId8">
        <w:r>
          <w:rPr>
            <w:color w:val="2E74B5"/>
            <w:sz w:val="16"/>
            <w:u w:val="single"/>
          </w:rPr>
          <w:t>Source</w:t>
        </w:r>
      </w:hyperlink>
    </w:p>
    <w:p w14:paraId="122B7DB9" w14:textId="77777777" w:rsidR="0077545E" w:rsidRDefault="00000000">
      <w:pPr>
        <w:spacing w:after="40" w:line="240" w:lineRule="auto"/>
        <w:ind w:left="259" w:hanging="259"/>
      </w:pPr>
      <w:r>
        <w:rPr>
          <w:color w:val="1B2631"/>
          <w:sz w:val="16"/>
        </w:rPr>
        <w:t xml:space="preserve">[2] Mittal et al., “OASIS: Optimal Allocation Strategy for Inference Services in Cloud Environments,” ICPE Companion 2026, Table 3. </w:t>
      </w:r>
      <w:hyperlink r:id="rId9">
        <w:r>
          <w:rPr>
            <w:color w:val="2E74B5"/>
            <w:sz w:val="16"/>
            <w:u w:val="single"/>
          </w:rPr>
          <w:t>Source</w:t>
        </w:r>
      </w:hyperlink>
    </w:p>
    <w:p w14:paraId="2982DFE0" w14:textId="77777777" w:rsidR="0077545E" w:rsidRDefault="00000000">
      <w:pPr>
        <w:spacing w:after="40" w:line="240" w:lineRule="auto"/>
        <w:ind w:left="259" w:hanging="259"/>
      </w:pPr>
      <w:r>
        <w:rPr>
          <w:color w:val="1B2631"/>
          <w:sz w:val="16"/>
        </w:rPr>
        <w:t xml:space="preserve">[3] Chen et al., “Characterizing Mobile SoC for Accelerating Heterogeneous LLM Inference,” SOSP 2025, Figures 16, 17, and 20. </w:t>
      </w:r>
      <w:hyperlink r:id="rId10">
        <w:r>
          <w:rPr>
            <w:color w:val="2E74B5"/>
            <w:sz w:val="16"/>
            <w:u w:val="single"/>
          </w:rPr>
          <w:t>Source</w:t>
        </w:r>
      </w:hyperlink>
    </w:p>
    <w:p w14:paraId="1CD35AA9" w14:textId="77777777" w:rsidR="0077545E" w:rsidRDefault="00000000">
      <w:pPr>
        <w:spacing w:after="40" w:line="240" w:lineRule="auto"/>
        <w:ind w:left="259" w:hanging="259"/>
      </w:pPr>
      <w:r>
        <w:rPr>
          <w:color w:val="1B2631"/>
          <w:sz w:val="16"/>
        </w:rPr>
        <w:t xml:space="preserve">[4] OnePlus, “OnePlus 13 Specifications,” Snapdragon 8 Elite platform. </w:t>
      </w:r>
      <w:hyperlink r:id="rId11">
        <w:r>
          <w:rPr>
            <w:color w:val="2E74B5"/>
            <w:sz w:val="16"/>
            <w:u w:val="single"/>
          </w:rPr>
          <w:t>Source</w:t>
        </w:r>
      </w:hyperlink>
    </w:p>
    <w:p w14:paraId="7349C767" w14:textId="77777777" w:rsidR="0077545E" w:rsidRDefault="00000000">
      <w:pPr>
        <w:spacing w:after="40" w:line="240" w:lineRule="auto"/>
        <w:ind w:left="259" w:hanging="259"/>
      </w:pPr>
      <w:r>
        <w:rPr>
          <w:color w:val="1B2631"/>
          <w:sz w:val="16"/>
        </w:rPr>
        <w:t xml:space="preserve">[5] Qualcomm AI Hub, “Llama-v3.1-8B-Chat Quantized.” </w:t>
      </w:r>
      <w:hyperlink r:id="rId12">
        <w:r>
          <w:rPr>
            <w:color w:val="2E74B5"/>
            <w:sz w:val="16"/>
            <w:u w:val="single"/>
          </w:rPr>
          <w:t>Source</w:t>
        </w:r>
      </w:hyperlink>
    </w:p>
    <w:sectPr w:rsidR="0077545E" w:rsidSect="00034616">
      <w:headerReference w:type="default" r:id="rId13"/>
      <w:footerReference w:type="default" r:id="rId14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E893AC" w14:textId="77777777" w:rsidR="00776B6C" w:rsidRDefault="00776B6C">
      <w:pPr>
        <w:spacing w:after="0" w:line="240" w:lineRule="auto"/>
      </w:pPr>
      <w:r>
        <w:separator/>
      </w:r>
    </w:p>
  </w:endnote>
  <w:endnote w:type="continuationSeparator" w:id="0">
    <w:p w14:paraId="2FA89602" w14:textId="77777777" w:rsidR="00776B6C" w:rsidRDefault="0077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1465A" w14:textId="77777777" w:rsidR="0077545E" w:rsidRDefault="00000000">
    <w:pPr>
      <w:pStyle w:val="Footer"/>
      <w:jc w:val="right"/>
    </w:pPr>
    <w:r>
      <w:rPr>
        <w:color w:val="555F69"/>
        <w:sz w:val="17"/>
      </w:rPr>
      <w:t xml:space="preserve">Appendix — Phase-Specific Energy Estimate   |   </w:t>
    </w:r>
    <w:r>
      <w:rPr>
        <w:color w:val="555F69"/>
        <w:sz w:val="17"/>
      </w:rPr>
      <w:fldChar w:fldCharType="begin"/>
    </w:r>
    <w:r>
      <w:rPr>
        <w:color w:val="555F69"/>
        <w:sz w:val="17"/>
      </w:rPr>
      <w:instrText xml:space="preserve"> PAGE </w:instrText>
    </w:r>
    <w:r w:rsidR="00D163A2">
      <w:rPr>
        <w:color w:val="555F69"/>
        <w:sz w:val="17"/>
      </w:rPr>
      <w:fldChar w:fldCharType="separate"/>
    </w:r>
    <w:r w:rsidR="00D163A2">
      <w:rPr>
        <w:noProof/>
        <w:color w:val="555F69"/>
        <w:sz w:val="17"/>
      </w:rPr>
      <w:t>1</w:t>
    </w:r>
    <w:r>
      <w:rPr>
        <w:color w:val="555F6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382BF8" w14:textId="77777777" w:rsidR="00776B6C" w:rsidRDefault="00776B6C">
      <w:pPr>
        <w:spacing w:after="0" w:line="240" w:lineRule="auto"/>
      </w:pPr>
      <w:r>
        <w:separator/>
      </w:r>
    </w:p>
  </w:footnote>
  <w:footnote w:type="continuationSeparator" w:id="0">
    <w:p w14:paraId="4CD785CF" w14:textId="77777777" w:rsidR="00776B6C" w:rsidRDefault="00776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9F31B3" w14:textId="352AD0BE" w:rsidR="0077545E" w:rsidRDefault="00000000">
    <w:pPr>
      <w:pStyle w:val="Header"/>
      <w:jc w:val="left"/>
    </w:pPr>
    <w:r>
      <w:rPr>
        <w:b/>
        <w:color w:val="555F69"/>
        <w:sz w:val="17"/>
      </w:rPr>
      <w:t>Proposal Technical Appendix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458767">
    <w:abstractNumId w:val="8"/>
  </w:num>
  <w:num w:numId="2" w16cid:durableId="1845121843">
    <w:abstractNumId w:val="6"/>
  </w:num>
  <w:num w:numId="3" w16cid:durableId="934361159">
    <w:abstractNumId w:val="5"/>
  </w:num>
  <w:num w:numId="4" w16cid:durableId="1032654447">
    <w:abstractNumId w:val="4"/>
  </w:num>
  <w:num w:numId="5" w16cid:durableId="197083477">
    <w:abstractNumId w:val="7"/>
  </w:num>
  <w:num w:numId="6" w16cid:durableId="2032412357">
    <w:abstractNumId w:val="3"/>
  </w:num>
  <w:num w:numId="7" w16cid:durableId="1547716074">
    <w:abstractNumId w:val="2"/>
  </w:num>
  <w:num w:numId="8" w16cid:durableId="1207838859">
    <w:abstractNumId w:val="1"/>
  </w:num>
  <w:num w:numId="9" w16cid:durableId="1600405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095"/>
    <w:rsid w:val="0077545E"/>
    <w:rsid w:val="00776B6C"/>
    <w:rsid w:val="00AA1D8D"/>
    <w:rsid w:val="00B47730"/>
    <w:rsid w:val="00CB0664"/>
    <w:rsid w:val="00CD7F97"/>
    <w:rsid w:val="00D16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381B2"/>
  <w14:defaultImageDpi w14:val="300"/>
  <w15:docId w15:val="{FA5075F7-0DE7-D44F-97B5-05F2D054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enix.org/system/files/osdi25-he.pdf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ihub.qualcomm.com/mobile/models/llama_v3_1_8b_chat_quantize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neplus.com/us/13/spec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pads.se.sjtu.edu.cn/zh/publications/sosp25-che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achtenberg.org/eitan/pubs/papers/mittal26%3AOASIS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Phase-Specific Energy per Token for LLaMA-3 8B</dc:title>
  <dc:subject>NVIDIA A100 and OnePlus 13-class energy estimate</dc:subject>
  <dc:creator>Prepared for NSF proposal attachment</dc:creator>
  <cp:keywords>LLaMA-3 8B, A100, OnePlus 13, energy per token, prefill, decode</cp:keywords>
  <dc:description>generated by python-docx</dc:description>
  <cp:lastModifiedBy>Kun Suo</cp:lastModifiedBy>
  <cp:revision>3</cp:revision>
  <dcterms:created xsi:type="dcterms:W3CDTF">2013-12-23T23:15:00Z</dcterms:created>
  <dcterms:modified xsi:type="dcterms:W3CDTF">2026-09-01T22:19:00Z</dcterms:modified>
  <cp:category/>
</cp:coreProperties>
</file>