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after="0"/>
      </w:pPr>
      <w:r>
        <w:rPr>
          <w:rFonts w:ascii="Georgia" w:cs="Georgia" w:eastAsia="Georgia" w:hAnsi="Georgia"/>
          <w:b/>
          <w:bCs/>
          <w:color w:val="1A1A1A"/>
          <w:spacing w:val="200"/>
          <w:sz w:val="52"/>
          <w:szCs w:val="52"/>
        </w:rPr>
        <w:t xml:space="preserve">SEASIDE BEACON</w:t>
      </w:r>
    </w:p>
    <w:p>
      <w:pPr>
        <w:spacing w:before="80" w:after="0"/>
      </w:pPr>
    </w:p>
    <w:p>
      <w:pPr>
        <w:pBdr>
          <w:bottom w:val="single" w:color="B8632E" w:sz="6" w:space="1"/>
        </w:pBdr>
        <w:spacing w:after="300"/>
      </w:pPr>
    </w:p>
    <w:p>
      <w:pPr>
        <w:spacing w:before="120" w:after="0"/>
      </w:pPr>
    </w:p>
    <w:p>
      <w:pPr>
        <w:spacing w:after="60"/>
      </w:pPr>
      <w:r>
        <w:rPr>
          <w:rFonts w:ascii="Georgia" w:cs="Georgia" w:eastAsia="Georgia" w:hAnsi="Georgia"/>
          <w:color w:val="2D2D2D"/>
          <w:sz w:val="40"/>
          <w:szCs w:val="40"/>
        </w:rPr>
        <w:t xml:space="preserve">Competitive Strategy &amp;</w:t>
      </w:r>
    </w:p>
    <w:p>
      <w:pPr>
        <w:spacing w:after="0"/>
      </w:pPr>
      <w:r>
        <w:rPr>
          <w:rFonts w:ascii="Georgia" w:cs="Georgia" w:eastAsia="Georgia" w:hAnsi="Georgia"/>
          <w:color w:val="2D2D2D"/>
          <w:sz w:val="40"/>
          <w:szCs w:val="40"/>
        </w:rPr>
        <w:t xml:space="preserve">Market Positioning Report</w:t>
      </w:r>
    </w:p>
    <w:p>
      <w:pPr>
        <w:spacing w:before="360" w:after="0"/>
      </w:pPr>
    </w:p>
    <w:p>
      <w:pPr>
        <w:spacing w:after="80"/>
      </w:pPr>
      <w:r>
        <w:rPr>
          <w:rFonts w:ascii="Arial" w:cs="Arial" w:eastAsia="Arial" w:hAnsi="Arial"/>
          <w:i/>
          <w:iCs/>
          <w:color w:val="6B6B6B"/>
          <w:sz w:val="22"/>
          <w:szCs w:val="22"/>
        </w:rPr>
        <w:t xml:space="preserve">Why Depth Wins Over Breadth in Sunrise Forecasting</w:t>
      </w:r>
    </w:p>
    <w:p>
      <w:pPr>
        <w:spacing w:before="1200" w:after="0"/>
      </w:pPr>
    </w:p>
    <w:p>
      <w:pPr>
        <w:pBdr>
          <w:bottom w:val="single" w:color="D9D3CB" w:sz="4" w:space="1"/>
        </w:pBdr>
        <w:spacing w:before="200" w:after="200"/>
      </w:pPr>
    </w:p>
    <w:p>
      <w:pPr>
        <w:spacing w:before="60" w:after="40"/>
      </w:pPr>
      <w:r>
        <w:rPr>
          <w:rFonts w:ascii="Arial" w:cs="Arial" w:eastAsia="Arial" w:hAnsi="Arial"/>
          <w:color w:val="6B6B6B"/>
          <w:spacing w:val="100"/>
          <w:sz w:val="16"/>
          <w:szCs w:val="16"/>
        </w:rPr>
        <w:t xml:space="preserve">CONFIDENTIAL</w:t>
      </w:r>
    </w:p>
    <w:p>
      <w:pPr>
        <w:spacing w:after="40"/>
      </w:pPr>
      <w:r>
        <w:rPr>
          <w:rFonts w:ascii="Arial" w:cs="Arial" w:eastAsia="Arial" w:hAnsi="Arial"/>
          <w:color w:val="6B6B6B"/>
          <w:sz w:val="18"/>
          <w:szCs w:val="18"/>
        </w:rPr>
        <w:t xml:space="preserve">Prepared by Kevin T  |  February 2026  |  Version 1.0</w:t>
      </w:r>
    </w:p>
    <w:p>
      <w:pPr>
        <w:spacing w:after="0"/>
      </w:pPr>
      <w:r>
        <w:rPr>
          <w:rFonts w:ascii="Arial" w:cs="Arial" w:eastAsia="Arial" w:hAnsi="Arial"/>
          <w:color w:val="B8632E"/>
          <w:sz w:val="18"/>
          <w:szCs w:val="18"/>
        </w:rPr>
        <w:t xml:space="preserve">Seaside Beacon  |  seasidebeacon.com</w:t>
      </w:r>
    </w:p>
    <w:p>
      <w:pPr>
        <w:sectPr>
          <w:pgSz w:w="12240" w:h="15840" w:orient="portrait"/>
          <w:pgMar w:top="3600" w:right="1580" w:bottom="1440" w:left="1580" w:header="708" w:footer="708" w:gutter="0"/>
          <w:pgNumType/>
          <w:docGrid w:linePitch="360"/>
        </w:sectPr>
      </w:pPr>
    </w:p>
    <w:p>
      <w:pPr>
        <w:spacing w:before="0" w:after="280"/>
      </w:pPr>
      <w:r>
        <w:rPr>
          <w:rFonts w:ascii="Georgia" w:cs="Georgia" w:eastAsia="Georgia" w:hAnsi="Georgia"/>
          <w:b/>
          <w:bCs/>
          <w:color w:val="1A1A1A"/>
          <w:spacing w:val="120"/>
          <w:sz w:val="26"/>
          <w:szCs w:val="26"/>
        </w:rPr>
        <w:t xml:space="preserve">CONTENTS</w:t>
      </w:r>
    </w:p>
    <w:p>
      <w:pPr>
        <w:pBdr>
          <w:bottom w:val="single" w:color="D9D3CB" w:sz="4" w:space="1"/>
        </w:pBdr>
        <w:spacing w:before="200" w:after="200"/>
      </w:pPr>
    </w:p>
    <w:p>
      <w:pPr>
        <w:tabs>
          <w:tab w:val="right" w:pos="9080"/>
        </w:tabs>
        <w:spacing w:before="100" w:after="100"/>
      </w:pPr>
      <w:r>
        <w:rPr>
          <w:rFonts w:ascii="Arial" w:cs="Arial" w:eastAsia="Arial" w:hAnsi="Arial"/>
          <w:b/>
          <w:bCs/>
          <w:color w:val="B8632E"/>
          <w:sz w:val="20"/>
          <w:szCs w:val="20"/>
        </w:rPr>
        <w:t xml:space="preserve">1.   </w:t>
      </w:r>
      <w:r>
        <w:rPr>
          <w:rFonts w:ascii="Arial" w:cs="Arial" w:eastAsia="Arial" w:hAnsi="Arial"/>
          <w:color w:val="2D2D2D"/>
          <w:sz w:val="20"/>
          <w:szCs w:val="20"/>
        </w:rPr>
        <w:t xml:space="preserve">Executive Summary</w:t>
      </w:r>
    </w:p>
    <w:p>
      <w:pPr>
        <w:tabs>
          <w:tab w:val="right" w:pos="9080"/>
        </w:tabs>
        <w:spacing w:before="100" w:after="100"/>
      </w:pPr>
      <w:r>
        <w:rPr>
          <w:rFonts w:ascii="Arial" w:cs="Arial" w:eastAsia="Arial" w:hAnsi="Arial"/>
          <w:b/>
          <w:bCs/>
          <w:color w:val="B8632E"/>
          <w:sz w:val="20"/>
          <w:szCs w:val="20"/>
        </w:rPr>
        <w:t xml:space="preserve">2.   </w:t>
      </w:r>
      <w:r>
        <w:rPr>
          <w:rFonts w:ascii="Arial" w:cs="Arial" w:eastAsia="Arial" w:hAnsi="Arial"/>
          <w:color w:val="2D2D2D"/>
          <w:sz w:val="20"/>
          <w:szCs w:val="20"/>
        </w:rPr>
        <w:t xml:space="preserve">The Competitive Landscape</w:t>
      </w:r>
    </w:p>
    <w:p>
      <w:pPr>
        <w:tabs>
          <w:tab w:val="right" w:pos="9080"/>
        </w:tabs>
        <w:spacing w:before="100" w:after="100"/>
      </w:pPr>
      <w:r>
        <w:rPr>
          <w:rFonts w:ascii="Arial" w:cs="Arial" w:eastAsia="Arial" w:hAnsi="Arial"/>
          <w:b/>
          <w:bCs/>
          <w:color w:val="B8632E"/>
          <w:sz w:val="20"/>
          <w:szCs w:val="20"/>
        </w:rPr>
        <w:t xml:space="preserve">3.   </w:t>
      </w:r>
      <w:r>
        <w:rPr>
          <w:rFonts w:ascii="Arial" w:cs="Arial" w:eastAsia="Arial" w:hAnsi="Arial"/>
          <w:color w:val="2D2D2D"/>
          <w:sz w:val="20"/>
          <w:szCs w:val="20"/>
        </w:rPr>
        <w:t xml:space="preserve">Competitor Deep Dive</w:t>
      </w:r>
    </w:p>
    <w:p>
      <w:pPr>
        <w:tabs>
          <w:tab w:val="right" w:pos="9080"/>
        </w:tabs>
        <w:spacing w:before="100" w:after="100"/>
      </w:pPr>
      <w:r>
        <w:rPr>
          <w:rFonts w:ascii="Arial" w:cs="Arial" w:eastAsia="Arial" w:hAnsi="Arial"/>
          <w:b/>
          <w:bCs/>
          <w:color w:val="B8632E"/>
          <w:sz w:val="20"/>
          <w:szCs w:val="20"/>
        </w:rPr>
        <w:t xml:space="preserve">4.   </w:t>
      </w:r>
      <w:r>
        <w:rPr>
          <w:rFonts w:ascii="Arial" w:cs="Arial" w:eastAsia="Arial" w:hAnsi="Arial"/>
          <w:color w:val="2D2D2D"/>
          <w:sz w:val="20"/>
          <w:szCs w:val="20"/>
        </w:rPr>
        <w:t xml:space="preserve">The Seaside Beacon Approach</w:t>
      </w:r>
    </w:p>
    <w:p>
      <w:pPr>
        <w:tabs>
          <w:tab w:val="right" w:pos="9080"/>
        </w:tabs>
        <w:spacing w:before="100" w:after="100"/>
      </w:pPr>
      <w:r>
        <w:rPr>
          <w:rFonts w:ascii="Arial" w:cs="Arial" w:eastAsia="Arial" w:hAnsi="Arial"/>
          <w:b/>
          <w:bCs/>
          <w:color w:val="B8632E"/>
          <w:sz w:val="20"/>
          <w:szCs w:val="20"/>
        </w:rPr>
        <w:t xml:space="preserve">5.   </w:t>
      </w:r>
      <w:r>
        <w:rPr>
          <w:rFonts w:ascii="Arial" w:cs="Arial" w:eastAsia="Arial" w:hAnsi="Arial"/>
          <w:color w:val="2D2D2D"/>
          <w:sz w:val="20"/>
          <w:szCs w:val="20"/>
        </w:rPr>
        <w:t xml:space="preserve">Technical Differentiation</w:t>
      </w:r>
    </w:p>
    <w:p>
      <w:pPr>
        <w:tabs>
          <w:tab w:val="right" w:pos="9080"/>
        </w:tabs>
        <w:spacing w:before="100" w:after="100"/>
      </w:pPr>
      <w:r>
        <w:rPr>
          <w:rFonts w:ascii="Arial" w:cs="Arial" w:eastAsia="Arial" w:hAnsi="Arial"/>
          <w:b/>
          <w:bCs/>
          <w:color w:val="B8632E"/>
          <w:sz w:val="20"/>
          <w:szCs w:val="20"/>
        </w:rPr>
        <w:t xml:space="preserve">6.   </w:t>
      </w:r>
      <w:r>
        <w:rPr>
          <w:rFonts w:ascii="Arial" w:cs="Arial" w:eastAsia="Arial" w:hAnsi="Arial"/>
          <w:color w:val="2D2D2D"/>
          <w:sz w:val="20"/>
          <w:szCs w:val="20"/>
        </w:rPr>
        <w:t xml:space="preserve">Expansion Strategy</w:t>
      </w:r>
    </w:p>
    <w:p>
      <w:pPr>
        <w:tabs>
          <w:tab w:val="right" w:pos="9080"/>
        </w:tabs>
        <w:spacing w:before="100" w:after="100"/>
      </w:pPr>
      <w:r>
        <w:rPr>
          <w:rFonts w:ascii="Arial" w:cs="Arial" w:eastAsia="Arial" w:hAnsi="Arial"/>
          <w:b/>
          <w:bCs/>
          <w:color w:val="B8632E"/>
          <w:sz w:val="20"/>
          <w:szCs w:val="20"/>
        </w:rPr>
        <w:t xml:space="preserve">7.   </w:t>
      </w:r>
      <w:r>
        <w:rPr>
          <w:rFonts w:ascii="Arial" w:cs="Arial" w:eastAsia="Arial" w:hAnsi="Arial"/>
          <w:color w:val="2D2D2D"/>
          <w:sz w:val="20"/>
          <w:szCs w:val="20"/>
        </w:rPr>
        <w:t xml:space="preserve">Competitive Advantages</w:t>
      </w:r>
    </w:p>
    <w:p>
      <w:pPr>
        <w:tabs>
          <w:tab w:val="right" w:pos="9080"/>
        </w:tabs>
        <w:spacing w:before="100" w:after="100"/>
      </w:pPr>
      <w:r>
        <w:rPr>
          <w:rFonts w:ascii="Arial" w:cs="Arial" w:eastAsia="Arial" w:hAnsi="Arial"/>
          <w:b/>
          <w:bCs/>
          <w:color w:val="B8632E"/>
          <w:sz w:val="20"/>
          <w:szCs w:val="20"/>
        </w:rPr>
        <w:t xml:space="preserve">8.   </w:t>
      </w:r>
      <w:r>
        <w:rPr>
          <w:rFonts w:ascii="Arial" w:cs="Arial" w:eastAsia="Arial" w:hAnsi="Arial"/>
          <w:color w:val="2D2D2D"/>
          <w:sz w:val="20"/>
          <w:szCs w:val="20"/>
        </w:rPr>
        <w:t xml:space="preserve">Risk Assessment</w:t>
      </w:r>
    </w:p>
    <w:p>
      <w:pPr>
        <w:tabs>
          <w:tab w:val="right" w:pos="9080"/>
        </w:tabs>
        <w:spacing w:before="100" w:after="100"/>
      </w:pPr>
      <w:r>
        <w:rPr>
          <w:rFonts w:ascii="Arial" w:cs="Arial" w:eastAsia="Arial" w:hAnsi="Arial"/>
          <w:b/>
          <w:bCs/>
          <w:color w:val="B8632E"/>
          <w:sz w:val="20"/>
          <w:szCs w:val="20"/>
        </w:rPr>
        <w:t xml:space="preserve">9.   </w:t>
      </w:r>
      <w:r>
        <w:rPr>
          <w:rFonts w:ascii="Arial" w:cs="Arial" w:eastAsia="Arial" w:hAnsi="Arial"/>
          <w:color w:val="2D2D2D"/>
          <w:sz w:val="20"/>
          <w:szCs w:val="20"/>
        </w:rPr>
        <w:t xml:space="preserve">Conclusion</w:t>
      </w:r>
    </w:p>
    <w:p>
      <w:pPr>
        <w:pBdr>
          <w:bottom w:val="single" w:color="D9D3CB" w:sz="4" w:space="1"/>
        </w:pBdr>
        <w:spacing w:before="200" w:after="200"/>
      </w:pPr>
    </w:p>
    <w:p>
      <w:r>
        <w:br w:type="page"/>
      </w:r>
    </w:p>
    <w:p>
      <w:pPr>
        <w:keepNext/>
        <w:keepLines/>
        <w:spacing w:before="360" w:after="160"/>
      </w:pPr>
      <w:r>
        <w:rPr>
          <w:rFonts w:ascii="Georgia" w:cs="Georgia" w:eastAsia="Georgia" w:hAnsi="Georgia"/>
          <w:b/>
          <w:bCs/>
          <w:color w:val="1A1A1A"/>
          <w:spacing w:val="80"/>
          <w:sz w:val="24"/>
          <w:szCs w:val="24"/>
        </w:rPr>
        <w:t xml:space="preserve">1. EXECUTIVE SUMMARY</w:t>
      </w:r>
    </w:p>
    <w:p>
      <w:pPr>
        <w:pBdr>
          <w:bottom w:val="single" w:color="D9D3CB" w:sz="4" w:space="1"/>
        </w:pBdr>
        <w:spacing w:before="200" w:after="200"/>
      </w:pPr>
    </w:p>
    <w:p>
      <w:pPr>
        <w:keepLines/>
        <w:spacing w:before="0" w:after="100" w:line="312"/>
      </w:pPr>
      <w:r>
        <w:rPr>
          <w:rFonts w:ascii="Arial" w:cs="Arial" w:eastAsia="Arial" w:hAnsi="Arial"/>
          <w:color w:val="2D2D2D"/>
          <w:sz w:val="21"/>
          <w:szCs w:val="21"/>
        </w:rPr>
        <w:t xml:space="preserve">Seaside Beacon is a sunrise quality forecast platform purpose-built for Chennai’s coastline. Unlike global competitors that provide generic, GPS-based predictions for any location worldwide, Seaside Beacon takes a fundamentally different approach: deep, localised accuracy over broad, shallow coverage.</w:t>
      </w:r>
    </w:p>
    <w:p>
      <w:pPr>
        <w:keepLines/>
        <w:spacing w:before="80" w:after="100" w:line="312"/>
      </w:pPr>
      <w:r>
        <w:rPr>
          <w:rFonts w:ascii="Arial" w:cs="Arial" w:eastAsia="Arial" w:hAnsi="Arial"/>
          <w:color w:val="2D2D2D"/>
          <w:sz w:val="21"/>
          <w:szCs w:val="21"/>
        </w:rPr>
        <w:t xml:space="preserve">This report examines the competitive landscape of sunrise and sunset forecast applications, analyses how global competitors operate, and articulates why Seaside Beacon’s phased, locality-first expansion strategy is a deliberate competitive advantage rather than a limitation.</w:t>
      </w:r>
    </w:p>
    <w:p>
      <w:pPr>
        <w:keepNext w:val="false"/>
        <w:keepLines/>
        <w:spacing w:before="100" w:after="100" w:line="312"/>
      </w:pPr>
      <w:r>
        <w:rPr>
          <w:rFonts w:ascii="Arial" w:cs="Arial" w:eastAsia="Arial" w:hAnsi="Arial"/>
          <w:b/>
          <w:bCs/>
          <w:color w:val="1A1A1A"/>
          <w:sz w:val="21"/>
          <w:szCs w:val="21"/>
        </w:rPr>
        <w:t xml:space="preserve">Core thesis: </w:t>
      </w:r>
      <w:r>
        <w:rPr>
          <w:rFonts w:ascii="Arial" w:cs="Arial" w:eastAsia="Arial" w:hAnsi="Arial"/>
          <w:i/>
          <w:iCs/>
          <w:color w:val="2D2D2D"/>
          <w:sz w:val="21"/>
          <w:szCs w:val="21"/>
        </w:rPr>
        <w:t xml:space="preserve">In a market where every competitor optimises for global reach using generic weather models, the winning strategy is to be the most accurate and trusted source in a specific geography, then expand methodically with the same quality bar.</w:t>
      </w:r>
    </w:p>
    <w:p>
      <w:pPr>
        <w:keepNext/>
        <w:keepLines/>
        <w:spacing w:before="360" w:after="160"/>
      </w:pPr>
      <w:r>
        <w:rPr>
          <w:rFonts w:ascii="Georgia" w:cs="Georgia" w:eastAsia="Georgia" w:hAnsi="Georgia"/>
          <w:b/>
          <w:bCs/>
          <w:color w:val="1A1A1A"/>
          <w:spacing w:val="80"/>
          <w:sz w:val="24"/>
          <w:szCs w:val="24"/>
        </w:rPr>
        <w:t xml:space="preserve">2. THE COMPETITIVE LANDSCAPE</w:t>
      </w:r>
    </w:p>
    <w:p>
      <w:pPr>
        <w:pBdr>
          <w:bottom w:val="single" w:color="D9D3CB" w:sz="4" w:space="1"/>
        </w:pBdr>
        <w:spacing w:before="200" w:after="200"/>
      </w:pPr>
    </w:p>
    <w:p>
      <w:pPr>
        <w:keepLines/>
        <w:spacing w:before="0" w:after="100" w:line="312"/>
      </w:pPr>
      <w:r>
        <w:rPr>
          <w:rFonts w:ascii="Arial" w:cs="Arial" w:eastAsia="Arial" w:hAnsi="Arial"/>
          <w:color w:val="2D2D2D"/>
          <w:sz w:val="21"/>
          <w:szCs w:val="21"/>
        </w:rPr>
        <w:t xml:space="preserve">The sunrise and sunset forecast market consists of five notable players, all of which employ a GPS-based global coverage model. Each provides worldwide predictions using publicly available weather model data.</w:t>
      </w:r>
    </w:p>
    <w:p>
      <w:pPr>
        <w:spacing w:before="120" w:after="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500"/>
        <w:gridCol w:w="3000"/>
      </w:tblGrid>
      <w:tr>
        <w:tc>
          <w:tcPr>
            <w:tcW w:type="dxa" w:w="2200"/>
            <w:tcBorders>
              <w:top w:val="single" w:color="D9D3CB" w:sz="1"/>
              <w:left w:val="single" w:color="D9D3CB" w:sz="1"/>
              <w:bottom w:val="single" w:color="D9D3CB" w:sz="1"/>
              <w:right w:val="single" w:color="D9D3CB" w:sz="1"/>
            </w:tcBorders>
            <w:shd w:fill="1A1A1A"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Competitor</w:t>
            </w:r>
          </w:p>
        </w:tc>
        <w:tc>
          <w:tcPr>
            <w:tcW w:type="dxa" w:w="1400"/>
            <w:tcBorders>
              <w:top w:val="single" w:color="D9D3CB" w:sz="1"/>
              <w:left w:val="single" w:color="D9D3CB" w:sz="1"/>
              <w:bottom w:val="single" w:color="D9D3CB" w:sz="1"/>
              <w:right w:val="single" w:color="D9D3CB" w:sz="1"/>
            </w:tcBorders>
            <w:shd w:fill="1A1A1A"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Type</w:t>
            </w:r>
          </w:p>
        </w:tc>
        <w:tc>
          <w:tcPr>
            <w:tcW w:type="dxa" w:w="2500"/>
            <w:tcBorders>
              <w:top w:val="single" w:color="D9D3CB" w:sz="1"/>
              <w:left w:val="single" w:color="D9D3CB" w:sz="1"/>
              <w:bottom w:val="single" w:color="D9D3CB" w:sz="1"/>
              <w:right w:val="single" w:color="D9D3CB" w:sz="1"/>
            </w:tcBorders>
            <w:shd w:fill="1A1A1A"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Coverage</w:t>
            </w:r>
          </w:p>
        </w:tc>
        <w:tc>
          <w:tcPr>
            <w:tcW w:type="dxa" w:w="3000"/>
            <w:tcBorders>
              <w:top w:val="single" w:color="D9D3CB" w:sz="1"/>
              <w:left w:val="single" w:color="D9D3CB" w:sz="1"/>
              <w:bottom w:val="single" w:color="D9D3CB" w:sz="1"/>
              <w:right w:val="single" w:color="D9D3CB" w:sz="1"/>
            </w:tcBorders>
            <w:shd w:fill="1A1A1A"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Pricing</w:t>
            </w:r>
          </w:p>
        </w:tc>
      </w:tr>
      <w:tr>
        <w:tc>
          <w:tcPr>
            <w:tcW w:type="dxa" w:w="2200"/>
            <w:tcBorders>
              <w:top w:val="single" w:color="D9D3CB" w:sz="1"/>
              <w:left w:val="single" w:color="D9D3CB" w:sz="1"/>
              <w:bottom w:val="single" w:color="D9D3CB" w:sz="1"/>
              <w:right w:val="single" w:color="D9D3CB" w:sz="1"/>
            </w:tcBorders>
            <w:shd w:fill="FFFFFF" w:val="clear"/>
            <w:tcMar>
              <w:top w:type="dxa" w:w="70"/>
              <w:left w:type="dxa" w:w="120"/>
              <w:bottom w:type="dxa" w:w="70"/>
              <w:right w:type="dxa" w:w="120"/>
            </w:tcMar>
          </w:tcPr>
          <w:p>
            <w:pPr>
              <w:spacing w:before="0" w:after="0"/>
            </w:pPr>
            <w:r>
              <w:rPr>
                <w:rFonts w:ascii="Arial" w:cs="Arial" w:eastAsia="Arial" w:hAnsi="Arial"/>
                <w:b/>
                <w:bCs/>
                <w:color w:val="2D2D2D"/>
                <w:sz w:val="18"/>
                <w:szCs w:val="18"/>
              </w:rPr>
              <w:t xml:space="preserve">SunsetWx</w:t>
            </w:r>
          </w:p>
        </w:tc>
        <w:tc>
          <w:tcPr>
            <w:tcW w:type="dxa" w:w="1400"/>
            <w:tcBorders>
              <w:top w:val="single" w:color="D9D3CB" w:sz="1"/>
              <w:left w:val="single" w:color="D9D3CB" w:sz="1"/>
              <w:bottom w:val="single" w:color="D9D3CB" w:sz="1"/>
              <w:right w:val="single" w:color="D9D3C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2D2D2D"/>
                <w:sz w:val="18"/>
                <w:szCs w:val="18"/>
              </w:rPr>
              <w:t xml:space="preserve">Web / API</w:t>
            </w:r>
          </w:p>
        </w:tc>
        <w:tc>
          <w:tcPr>
            <w:tcW w:type="dxa" w:w="2500"/>
            <w:tcBorders>
              <w:top w:val="single" w:color="D9D3CB" w:sz="1"/>
              <w:left w:val="single" w:color="D9D3CB" w:sz="1"/>
              <w:bottom w:val="single" w:color="D9D3CB" w:sz="1"/>
              <w:right w:val="single" w:color="D9D3C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2D2D2D"/>
                <w:sz w:val="18"/>
                <w:szCs w:val="18"/>
              </w:rPr>
              <w:t xml:space="preserve">Global (US-focused)</w:t>
            </w:r>
          </w:p>
        </w:tc>
        <w:tc>
          <w:tcPr>
            <w:tcW w:type="dxa" w:w="3000"/>
            <w:tcBorders>
              <w:top w:val="single" w:color="D9D3CB" w:sz="1"/>
              <w:left w:val="single" w:color="D9D3CB" w:sz="1"/>
              <w:bottom w:val="single" w:color="D9D3CB" w:sz="1"/>
              <w:right w:val="single" w:color="D9D3C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2D2D2D"/>
                <w:sz w:val="18"/>
                <w:szCs w:val="18"/>
              </w:rPr>
              <w:t xml:space="preserve">Free tier + Enterprise</w:t>
            </w:r>
          </w:p>
        </w:tc>
      </w:tr>
      <w:tr>
        <w:tc>
          <w:tcPr>
            <w:tcW w:type="dxa" w:w="2200"/>
            <w:tcBorders>
              <w:top w:val="single" w:color="D9D3CB" w:sz="1"/>
              <w:left w:val="single" w:color="D9D3CB" w:sz="1"/>
              <w:bottom w:val="single" w:color="D9D3CB" w:sz="1"/>
              <w:right w:val="single" w:color="D9D3CB" w:sz="1"/>
            </w:tcBorders>
            <w:shd w:fill="FAFAF8" w:val="clear"/>
            <w:tcMar>
              <w:top w:type="dxa" w:w="70"/>
              <w:left w:type="dxa" w:w="120"/>
              <w:bottom w:type="dxa" w:w="70"/>
              <w:right w:type="dxa" w:w="120"/>
            </w:tcMar>
          </w:tcPr>
          <w:p>
            <w:pPr>
              <w:spacing w:before="0" w:after="0"/>
            </w:pPr>
            <w:r>
              <w:rPr>
                <w:rFonts w:ascii="Arial" w:cs="Arial" w:eastAsia="Arial" w:hAnsi="Arial"/>
                <w:b/>
                <w:bCs/>
                <w:color w:val="2D2D2D"/>
                <w:sz w:val="18"/>
                <w:szCs w:val="18"/>
              </w:rPr>
              <w:t xml:space="preserve">Alpenglow</w:t>
            </w:r>
          </w:p>
        </w:tc>
        <w:tc>
          <w:tcPr>
            <w:tcW w:type="dxa" w:w="1400"/>
            <w:tcBorders>
              <w:top w:val="single" w:color="D9D3CB" w:sz="1"/>
              <w:left w:val="single" w:color="D9D3CB" w:sz="1"/>
              <w:bottom w:val="single" w:color="D9D3CB" w:sz="1"/>
              <w:right w:val="single" w:color="D9D3CB" w:sz="1"/>
            </w:tcBorders>
            <w:shd w:fill="FAFAF8" w:val="clear"/>
            <w:tcMar>
              <w:top w:type="dxa" w:w="70"/>
              <w:left w:type="dxa" w:w="120"/>
              <w:bottom w:type="dxa" w:w="70"/>
              <w:right w:type="dxa" w:w="120"/>
            </w:tcMar>
          </w:tcPr>
          <w:p>
            <w:pPr>
              <w:spacing w:before="0" w:after="0"/>
            </w:pPr>
            <w:r>
              <w:rPr>
                <w:rFonts w:ascii="Arial" w:cs="Arial" w:eastAsia="Arial" w:hAnsi="Arial"/>
                <w:b w:val="false"/>
                <w:bCs w:val="false"/>
                <w:color w:val="2D2D2D"/>
                <w:sz w:val="18"/>
                <w:szCs w:val="18"/>
              </w:rPr>
              <w:t xml:space="preserve">iOS / Android</w:t>
            </w:r>
          </w:p>
        </w:tc>
        <w:tc>
          <w:tcPr>
            <w:tcW w:type="dxa" w:w="2500"/>
            <w:tcBorders>
              <w:top w:val="single" w:color="D9D3CB" w:sz="1"/>
              <w:left w:val="single" w:color="D9D3CB" w:sz="1"/>
              <w:bottom w:val="single" w:color="D9D3CB" w:sz="1"/>
              <w:right w:val="single" w:color="D9D3CB" w:sz="1"/>
            </w:tcBorders>
            <w:shd w:fill="FAFAF8" w:val="clear"/>
            <w:tcMar>
              <w:top w:type="dxa" w:w="70"/>
              <w:left w:type="dxa" w:w="120"/>
              <w:bottom w:type="dxa" w:w="70"/>
              <w:right w:type="dxa" w:w="120"/>
            </w:tcMar>
          </w:tcPr>
          <w:p>
            <w:pPr>
              <w:spacing w:before="0" w:after="0"/>
            </w:pPr>
            <w:r>
              <w:rPr>
                <w:rFonts w:ascii="Arial" w:cs="Arial" w:eastAsia="Arial" w:hAnsi="Arial"/>
                <w:b w:val="false"/>
                <w:bCs w:val="false"/>
                <w:color w:val="2D2D2D"/>
                <w:sz w:val="18"/>
                <w:szCs w:val="18"/>
              </w:rPr>
              <w:t xml:space="preserve">Global via GPS</w:t>
            </w:r>
          </w:p>
        </w:tc>
        <w:tc>
          <w:tcPr>
            <w:tcW w:type="dxa" w:w="3000"/>
            <w:tcBorders>
              <w:top w:val="single" w:color="D9D3CB" w:sz="1"/>
              <w:left w:val="single" w:color="D9D3CB" w:sz="1"/>
              <w:bottom w:val="single" w:color="D9D3CB" w:sz="1"/>
              <w:right w:val="single" w:color="D9D3CB" w:sz="1"/>
            </w:tcBorders>
            <w:shd w:fill="FAFAF8" w:val="clear"/>
            <w:tcMar>
              <w:top w:type="dxa" w:w="70"/>
              <w:left w:type="dxa" w:w="120"/>
              <w:bottom w:type="dxa" w:w="70"/>
              <w:right w:type="dxa" w:w="120"/>
            </w:tcMar>
          </w:tcPr>
          <w:p>
            <w:pPr>
              <w:spacing w:before="0" w:after="0"/>
            </w:pPr>
            <w:r>
              <w:rPr>
                <w:rFonts w:ascii="Arial" w:cs="Arial" w:eastAsia="Arial" w:hAnsi="Arial"/>
                <w:b w:val="false"/>
                <w:bCs w:val="false"/>
                <w:color w:val="2D2D2D"/>
                <w:sz w:val="18"/>
                <w:szCs w:val="18"/>
              </w:rPr>
              <w:t xml:space="preserve">Free + Pro subscription</w:t>
            </w:r>
          </w:p>
        </w:tc>
      </w:tr>
      <w:tr>
        <w:tc>
          <w:tcPr>
            <w:tcW w:type="dxa" w:w="2200"/>
            <w:tcBorders>
              <w:top w:val="single" w:color="D9D3CB" w:sz="1"/>
              <w:left w:val="single" w:color="D9D3CB" w:sz="1"/>
              <w:bottom w:val="single" w:color="D9D3CB" w:sz="1"/>
              <w:right w:val="single" w:color="D9D3CB" w:sz="1"/>
            </w:tcBorders>
            <w:shd w:fill="FFFFFF" w:val="clear"/>
            <w:tcMar>
              <w:top w:type="dxa" w:w="70"/>
              <w:left w:type="dxa" w:w="120"/>
              <w:bottom w:type="dxa" w:w="70"/>
              <w:right w:type="dxa" w:w="120"/>
            </w:tcMar>
          </w:tcPr>
          <w:p>
            <w:pPr>
              <w:spacing w:before="0" w:after="0"/>
            </w:pPr>
            <w:r>
              <w:rPr>
                <w:rFonts w:ascii="Arial" w:cs="Arial" w:eastAsia="Arial" w:hAnsi="Arial"/>
                <w:b/>
                <w:bCs/>
                <w:color w:val="2D2D2D"/>
                <w:sz w:val="18"/>
                <w:szCs w:val="18"/>
              </w:rPr>
              <w:t xml:space="preserve">SkyCandy</w:t>
            </w:r>
          </w:p>
        </w:tc>
        <w:tc>
          <w:tcPr>
            <w:tcW w:type="dxa" w:w="1400"/>
            <w:tcBorders>
              <w:top w:val="single" w:color="D9D3CB" w:sz="1"/>
              <w:left w:val="single" w:color="D9D3CB" w:sz="1"/>
              <w:bottom w:val="single" w:color="D9D3CB" w:sz="1"/>
              <w:right w:val="single" w:color="D9D3C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2D2D2D"/>
                <w:sz w:val="18"/>
                <w:szCs w:val="18"/>
              </w:rPr>
              <w:t xml:space="preserve">iOS / Android</w:t>
            </w:r>
          </w:p>
        </w:tc>
        <w:tc>
          <w:tcPr>
            <w:tcW w:type="dxa" w:w="2500"/>
            <w:tcBorders>
              <w:top w:val="single" w:color="D9D3CB" w:sz="1"/>
              <w:left w:val="single" w:color="D9D3CB" w:sz="1"/>
              <w:bottom w:val="single" w:color="D9D3CB" w:sz="1"/>
              <w:right w:val="single" w:color="D9D3C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2D2D2D"/>
                <w:sz w:val="18"/>
                <w:szCs w:val="18"/>
              </w:rPr>
              <w:t xml:space="preserve">Global via GPS</w:t>
            </w:r>
          </w:p>
        </w:tc>
        <w:tc>
          <w:tcPr>
            <w:tcW w:type="dxa" w:w="3000"/>
            <w:tcBorders>
              <w:top w:val="single" w:color="D9D3CB" w:sz="1"/>
              <w:left w:val="single" w:color="D9D3CB" w:sz="1"/>
              <w:bottom w:val="single" w:color="D9D3CB" w:sz="1"/>
              <w:right w:val="single" w:color="D9D3C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2D2D2D"/>
                <w:sz w:val="18"/>
                <w:szCs w:val="18"/>
              </w:rPr>
              <w:t xml:space="preserve">Free + INR 250/mo premium</w:t>
            </w:r>
          </w:p>
        </w:tc>
      </w:tr>
      <w:tr>
        <w:tc>
          <w:tcPr>
            <w:tcW w:type="dxa" w:w="2200"/>
            <w:tcBorders>
              <w:top w:val="single" w:color="D9D3CB" w:sz="1"/>
              <w:left w:val="single" w:color="D9D3CB" w:sz="1"/>
              <w:bottom w:val="single" w:color="D9D3CB" w:sz="1"/>
              <w:right w:val="single" w:color="D9D3CB" w:sz="1"/>
            </w:tcBorders>
            <w:shd w:fill="FAFAF8" w:val="clear"/>
            <w:tcMar>
              <w:top w:type="dxa" w:w="70"/>
              <w:left w:type="dxa" w:w="120"/>
              <w:bottom w:type="dxa" w:w="70"/>
              <w:right w:type="dxa" w:w="120"/>
            </w:tcMar>
          </w:tcPr>
          <w:p>
            <w:pPr>
              <w:spacing w:before="0" w:after="0"/>
            </w:pPr>
            <w:r>
              <w:rPr>
                <w:rFonts w:ascii="Arial" w:cs="Arial" w:eastAsia="Arial" w:hAnsi="Arial"/>
                <w:b/>
                <w:bCs/>
                <w:color w:val="2D2D2D"/>
                <w:sz w:val="18"/>
                <w:szCs w:val="18"/>
              </w:rPr>
              <w:t xml:space="preserve">Sunsethue</w:t>
            </w:r>
          </w:p>
        </w:tc>
        <w:tc>
          <w:tcPr>
            <w:tcW w:type="dxa" w:w="1400"/>
            <w:tcBorders>
              <w:top w:val="single" w:color="D9D3CB" w:sz="1"/>
              <w:left w:val="single" w:color="D9D3CB" w:sz="1"/>
              <w:bottom w:val="single" w:color="D9D3CB" w:sz="1"/>
              <w:right w:val="single" w:color="D9D3CB" w:sz="1"/>
            </w:tcBorders>
            <w:shd w:fill="FAFAF8" w:val="clear"/>
            <w:tcMar>
              <w:top w:type="dxa" w:w="70"/>
              <w:left w:type="dxa" w:w="120"/>
              <w:bottom w:type="dxa" w:w="70"/>
              <w:right w:type="dxa" w:w="120"/>
            </w:tcMar>
          </w:tcPr>
          <w:p>
            <w:pPr>
              <w:spacing w:before="0" w:after="0"/>
            </w:pPr>
            <w:r>
              <w:rPr>
                <w:rFonts w:ascii="Arial" w:cs="Arial" w:eastAsia="Arial" w:hAnsi="Arial"/>
                <w:b w:val="false"/>
                <w:bCs w:val="false"/>
                <w:color w:val="2D2D2D"/>
                <w:sz w:val="18"/>
                <w:szCs w:val="18"/>
              </w:rPr>
              <w:t xml:space="preserve">Web app</w:t>
            </w:r>
          </w:p>
        </w:tc>
        <w:tc>
          <w:tcPr>
            <w:tcW w:type="dxa" w:w="2500"/>
            <w:tcBorders>
              <w:top w:val="single" w:color="D9D3CB" w:sz="1"/>
              <w:left w:val="single" w:color="D9D3CB" w:sz="1"/>
              <w:bottom w:val="single" w:color="D9D3CB" w:sz="1"/>
              <w:right w:val="single" w:color="D9D3CB" w:sz="1"/>
            </w:tcBorders>
            <w:shd w:fill="FAFAF8" w:val="clear"/>
            <w:tcMar>
              <w:top w:type="dxa" w:w="70"/>
              <w:left w:type="dxa" w:w="120"/>
              <w:bottom w:type="dxa" w:w="70"/>
              <w:right w:type="dxa" w:w="120"/>
            </w:tcMar>
          </w:tcPr>
          <w:p>
            <w:pPr>
              <w:spacing w:before="0" w:after="0"/>
            </w:pPr>
            <w:r>
              <w:rPr>
                <w:rFonts w:ascii="Arial" w:cs="Arial" w:eastAsia="Arial" w:hAnsi="Arial"/>
                <w:b w:val="false"/>
                <w:bCs w:val="false"/>
                <w:color w:val="2D2D2D"/>
                <w:sz w:val="18"/>
                <w:szCs w:val="18"/>
              </w:rPr>
              <w:t xml:space="preserve">Global via GPS</w:t>
            </w:r>
          </w:p>
        </w:tc>
        <w:tc>
          <w:tcPr>
            <w:tcW w:type="dxa" w:w="3000"/>
            <w:tcBorders>
              <w:top w:val="single" w:color="D9D3CB" w:sz="1"/>
              <w:left w:val="single" w:color="D9D3CB" w:sz="1"/>
              <w:bottom w:val="single" w:color="D9D3CB" w:sz="1"/>
              <w:right w:val="single" w:color="D9D3CB" w:sz="1"/>
            </w:tcBorders>
            <w:shd w:fill="FAFAF8" w:val="clear"/>
            <w:tcMar>
              <w:top w:type="dxa" w:w="70"/>
              <w:left w:type="dxa" w:w="120"/>
              <w:bottom w:type="dxa" w:w="70"/>
              <w:right w:type="dxa" w:w="120"/>
            </w:tcMar>
          </w:tcPr>
          <w:p>
            <w:pPr>
              <w:spacing w:before="0" w:after="0"/>
            </w:pPr>
            <w:r>
              <w:rPr>
                <w:rFonts w:ascii="Arial" w:cs="Arial" w:eastAsia="Arial" w:hAnsi="Arial"/>
                <w:b w:val="false"/>
                <w:bCs w:val="false"/>
                <w:color w:val="2D2D2D"/>
                <w:sz w:val="18"/>
                <w:szCs w:val="18"/>
              </w:rPr>
              <w:t xml:space="preserve">Completely free</w:t>
            </w:r>
          </w:p>
        </w:tc>
      </w:tr>
      <w:tr>
        <w:tc>
          <w:tcPr>
            <w:tcW w:type="dxa" w:w="2200"/>
            <w:tcBorders>
              <w:top w:val="single" w:color="D9D3CB" w:sz="1"/>
              <w:left w:val="single" w:color="D9D3CB" w:sz="1"/>
              <w:bottom w:val="single" w:color="D9D3CB" w:sz="1"/>
              <w:right w:val="single" w:color="D9D3CB" w:sz="1"/>
            </w:tcBorders>
            <w:shd w:fill="F0E8DF" w:val="clear"/>
            <w:tcMar>
              <w:top w:type="dxa" w:w="70"/>
              <w:left w:type="dxa" w:w="120"/>
              <w:bottom w:type="dxa" w:w="70"/>
              <w:right w:type="dxa" w:w="120"/>
            </w:tcMar>
          </w:tcPr>
          <w:p>
            <w:pPr>
              <w:spacing w:before="0" w:after="0"/>
            </w:pPr>
            <w:r>
              <w:rPr>
                <w:rFonts w:ascii="Arial" w:cs="Arial" w:eastAsia="Arial" w:hAnsi="Arial"/>
                <w:b/>
                <w:bCs/>
                <w:color w:val="B8632E"/>
                <w:sz w:val="18"/>
                <w:szCs w:val="18"/>
              </w:rPr>
              <w:t xml:space="preserve">Seaside Beacon</w:t>
            </w:r>
          </w:p>
        </w:tc>
        <w:tc>
          <w:tcPr>
            <w:tcW w:type="dxa" w:w="1400"/>
            <w:tcBorders>
              <w:top w:val="single" w:color="D9D3CB" w:sz="1"/>
              <w:left w:val="single" w:color="D9D3CB" w:sz="1"/>
              <w:bottom w:val="single" w:color="D9D3CB" w:sz="1"/>
              <w:right w:val="single" w:color="D9D3CB" w:sz="1"/>
            </w:tcBorders>
            <w:shd w:fill="F0E8DF" w:val="clear"/>
            <w:tcMar>
              <w:top w:type="dxa" w:w="70"/>
              <w:left w:type="dxa" w:w="120"/>
              <w:bottom w:type="dxa" w:w="70"/>
              <w:right w:type="dxa" w:w="120"/>
            </w:tcMar>
          </w:tcPr>
          <w:p>
            <w:pPr>
              <w:spacing w:before="0" w:after="0"/>
            </w:pPr>
            <w:r>
              <w:rPr>
                <w:rFonts w:ascii="Arial" w:cs="Arial" w:eastAsia="Arial" w:hAnsi="Arial"/>
                <w:b/>
                <w:bCs/>
                <w:color w:val="B8632E"/>
                <w:sz w:val="18"/>
                <w:szCs w:val="18"/>
              </w:rPr>
              <w:t xml:space="preserve">Web + Telegram</w:t>
            </w:r>
          </w:p>
        </w:tc>
        <w:tc>
          <w:tcPr>
            <w:tcW w:type="dxa" w:w="2500"/>
            <w:tcBorders>
              <w:top w:val="single" w:color="D9D3CB" w:sz="1"/>
              <w:left w:val="single" w:color="D9D3CB" w:sz="1"/>
              <w:bottom w:val="single" w:color="D9D3CB" w:sz="1"/>
              <w:right w:val="single" w:color="D9D3CB" w:sz="1"/>
            </w:tcBorders>
            <w:shd w:fill="F0E8DF" w:val="clear"/>
            <w:tcMar>
              <w:top w:type="dxa" w:w="70"/>
              <w:left w:type="dxa" w:w="120"/>
              <w:bottom w:type="dxa" w:w="70"/>
              <w:right w:type="dxa" w:w="120"/>
            </w:tcMar>
          </w:tcPr>
          <w:p>
            <w:pPr>
              <w:spacing w:before="0" w:after="0"/>
            </w:pPr>
            <w:r>
              <w:rPr>
                <w:rFonts w:ascii="Arial" w:cs="Arial" w:eastAsia="Arial" w:hAnsi="Arial"/>
                <w:b/>
                <w:bCs/>
                <w:color w:val="B8632E"/>
                <w:sz w:val="18"/>
                <w:szCs w:val="18"/>
              </w:rPr>
              <w:t xml:space="preserve">4 Chennai beaches</w:t>
            </w:r>
          </w:p>
        </w:tc>
        <w:tc>
          <w:tcPr>
            <w:tcW w:type="dxa" w:w="3000"/>
            <w:tcBorders>
              <w:top w:val="single" w:color="D9D3CB" w:sz="1"/>
              <w:left w:val="single" w:color="D9D3CB" w:sz="1"/>
              <w:bottom w:val="single" w:color="D9D3CB" w:sz="1"/>
              <w:right w:val="single" w:color="D9D3CB" w:sz="1"/>
            </w:tcBorders>
            <w:shd w:fill="F0E8DF" w:val="clear"/>
            <w:tcMar>
              <w:top w:type="dxa" w:w="70"/>
              <w:left w:type="dxa" w:w="120"/>
              <w:bottom w:type="dxa" w:w="70"/>
              <w:right w:type="dxa" w:w="120"/>
            </w:tcMar>
          </w:tcPr>
          <w:p>
            <w:pPr>
              <w:spacing w:before="0" w:after="0"/>
            </w:pPr>
            <w:r>
              <w:rPr>
                <w:rFonts w:ascii="Arial" w:cs="Arial" w:eastAsia="Arial" w:hAnsi="Arial"/>
                <w:b/>
                <w:bCs/>
                <w:color w:val="B8632E"/>
                <w:sz w:val="18"/>
                <w:szCs w:val="18"/>
              </w:rPr>
              <w:t xml:space="preserve">Free + INR 49/mo premium</w:t>
            </w:r>
          </w:p>
        </w:tc>
      </w:tr>
    </w:tbl>
    <w:p>
      <w:pPr>
        <w:spacing w:before="80" w:after="0"/>
      </w:pPr>
    </w:p>
    <w:p>
      <w:pPr>
        <w:keepLines/>
        <w:spacing w:before="0" w:after="100" w:line="312"/>
      </w:pPr>
      <w:r>
        <w:rPr>
          <w:rFonts w:ascii="Arial" w:cs="Arial" w:eastAsia="Arial" w:hAnsi="Arial"/>
          <w:color w:val="2D2D2D"/>
          <w:sz w:val="21"/>
          <w:szCs w:val="21"/>
        </w:rPr>
        <w:t xml:space="preserve">All four competitors share a common architecture: ingest global weather model data (GFS or NAM), apply a generic scoring formula, output a quality percentage for any GPS coordinate. This approach prioritises accessibility over accuracy.</w:t>
      </w:r>
    </w:p>
    <w:p>
      <w:pPr>
        <w:keepNext/>
        <w:keepLines/>
        <w:spacing w:before="360" w:after="160"/>
      </w:pPr>
      <w:r>
        <w:rPr>
          <w:rFonts w:ascii="Georgia" w:cs="Georgia" w:eastAsia="Georgia" w:hAnsi="Georgia"/>
          <w:b/>
          <w:bCs/>
          <w:color w:val="1A1A1A"/>
          <w:spacing w:val="80"/>
          <w:sz w:val="24"/>
          <w:szCs w:val="24"/>
        </w:rPr>
        <w:t xml:space="preserve">3. COMPETITOR DEEP DIVE</w:t>
      </w:r>
    </w:p>
    <w:p>
      <w:pPr>
        <w:pBdr>
          <w:bottom w:val="single" w:color="D9D3CB" w:sz="4" w:space="1"/>
        </w:pBdr>
        <w:spacing w:before="200" w:after="200"/>
      </w:pPr>
    </w:p>
    <w:p>
      <w:pPr>
        <w:keepNext/>
        <w:keepLines/>
        <w:spacing w:before="280" w:after="120"/>
      </w:pPr>
      <w:r>
        <w:rPr>
          <w:rFonts w:ascii="Georgia" w:cs="Georgia" w:eastAsia="Georgia" w:hAnsi="Georgia"/>
          <w:i/>
          <w:iCs/>
          <w:color w:val="B8632E"/>
          <w:sz w:val="22"/>
          <w:szCs w:val="22"/>
        </w:rPr>
        <w:t xml:space="preserve">SunsetWx</w:t>
      </w:r>
    </w:p>
    <w:p>
      <w:pPr>
        <w:keepLines/>
        <w:spacing w:before="0" w:after="100" w:line="312"/>
      </w:pPr>
      <w:r>
        <w:rPr>
          <w:rFonts w:ascii="Arial" w:cs="Arial" w:eastAsia="Arial" w:hAnsi="Arial"/>
          <w:color w:val="2D2D2D"/>
          <w:sz w:val="21"/>
          <w:szCs w:val="21"/>
        </w:rPr>
        <w:t xml:space="preserve">Founded at Penn State University, SunsetWx is the most established player in this space. Their model uses approximately 20 atmospheric factors including humidity, pressure changes, and multi-level cloud cover. They partner with The Weather Channel and serve dozens of news platforms across North America. They claim 87% accuracy, though this figure is self-reported and applies primarily to US locations where the higher-resolution NAM model (3km) is available. For international locations, they fall back to the coarser GFS model (13km), which significantly reduces prediction granularity.</w:t>
      </w:r>
    </w:p>
    <w:p>
      <w:pPr>
        <w:keepNext/>
        <w:keepLines/>
        <w:spacing w:before="280" w:after="120"/>
      </w:pPr>
      <w:r>
        <w:rPr>
          <w:rFonts w:ascii="Georgia" w:cs="Georgia" w:eastAsia="Georgia" w:hAnsi="Georgia"/>
          <w:i/>
          <w:iCs/>
          <w:color w:val="B8632E"/>
          <w:sz w:val="22"/>
          <w:szCs w:val="22"/>
        </w:rPr>
        <w:t xml:space="preserve">Alpenglow</w:t>
      </w:r>
    </w:p>
    <w:p>
      <w:pPr>
        <w:keepLines/>
        <w:spacing w:before="0" w:after="100" w:line="312"/>
      </w:pPr>
      <w:r>
        <w:rPr>
          <w:rFonts w:ascii="Arial" w:cs="Arial" w:eastAsia="Arial" w:hAnsi="Arial"/>
          <w:color w:val="2D2D2D"/>
          <w:sz w:val="21"/>
          <w:szCs w:val="21"/>
        </w:rPr>
        <w:t xml:space="preserve">Alpenglow provides 4-day sunrise and sunset quality forecasts using data from SunsetWx. The app classifies predictions into four tiers: Poor, Fair, Good, and Great. While the user experience is polished with features like augmented reality sun path visualisation and Apple Watch support, the forecasting engine is not proprietary. Alpenglow is essentially a frontend for SunsetWx’s API, meaning its accuracy ceiling is identical to SunsetWx’s, and it inherits the same limitations for non-US locations.</w:t>
      </w:r>
    </w:p>
    <w:p>
      <w:pPr>
        <w:keepNext/>
        <w:keepLines/>
        <w:spacing w:before="280" w:after="120"/>
      </w:pPr>
      <w:r>
        <w:rPr>
          <w:rFonts w:ascii="Georgia" w:cs="Georgia" w:eastAsia="Georgia" w:hAnsi="Georgia"/>
          <w:i/>
          <w:iCs/>
          <w:color w:val="B8632E"/>
          <w:sz w:val="22"/>
          <w:szCs w:val="22"/>
        </w:rPr>
        <w:t xml:space="preserve">SkyCandy</w:t>
      </w:r>
    </w:p>
    <w:p>
      <w:pPr>
        <w:keepLines/>
        <w:spacing w:before="0" w:after="100" w:line="312"/>
      </w:pPr>
      <w:r>
        <w:rPr>
          <w:rFonts w:ascii="Arial" w:cs="Arial" w:eastAsia="Arial" w:hAnsi="Arial"/>
          <w:color w:val="2D2D2D"/>
          <w:sz w:val="21"/>
          <w:szCs w:val="21"/>
        </w:rPr>
        <w:t xml:space="preserve">SkyCandy positions itself as a “hyperlocal” forecast app and claims 80% accuracy. It uses historic, current, and future weather data to determine sunrise and sunset quality. Premium subscribers get 5-day forecasts for up to three saved locations. However, the “hyperlocal” claim is misleading — the app still relies on the same global weather models available to every other competitor. The “local” element is simply the GPS coordinate, not any locally-calibrated atmospheric model.</w:t>
      </w:r>
    </w:p>
    <w:p>
      <w:pPr>
        <w:keepNext/>
        <w:keepLines/>
        <w:spacing w:before="280" w:after="120"/>
      </w:pPr>
      <w:r>
        <w:rPr>
          <w:rFonts w:ascii="Georgia" w:cs="Georgia" w:eastAsia="Georgia" w:hAnsi="Georgia"/>
          <w:i/>
          <w:iCs/>
          <w:color w:val="B8632E"/>
          <w:sz w:val="22"/>
          <w:szCs w:val="22"/>
        </w:rPr>
        <w:t xml:space="preserve">Sunsethue</w:t>
      </w:r>
    </w:p>
    <w:p>
      <w:pPr>
        <w:keepLines/>
        <w:spacing w:before="0" w:after="100" w:line="312"/>
      </w:pPr>
      <w:r>
        <w:rPr>
          <w:rFonts w:ascii="Arial" w:cs="Arial" w:eastAsia="Arial" w:hAnsi="Arial"/>
          <w:color w:val="2D2D2D"/>
          <w:sz w:val="21"/>
          <w:szCs w:val="21"/>
        </w:rPr>
        <w:t xml:space="preserve">Sunsethue is a free web application that uses a ray-based model to predict whether sunlight can reach and reflect off clouds during sunrise or sunset. The algorithm evaluates weather model cloud forecasts, updated every six hours, and outputs a percentage score summarising expected colour intensity, duration, and expanse. While the ray-tracing approach is scientifically interesting, the model has no local calibration. The same formula is applied to Chennai as it is to Reykjavik, despite vastly different atmospheric conditions.</w:t>
      </w:r>
    </w:p>
    <w:p>
      <w:pPr>
        <w:keepNext/>
        <w:keepLines/>
        <w:spacing w:before="360" w:after="160"/>
      </w:pPr>
      <w:r>
        <w:rPr>
          <w:rFonts w:ascii="Georgia" w:cs="Georgia" w:eastAsia="Georgia" w:hAnsi="Georgia"/>
          <w:b/>
          <w:bCs/>
          <w:color w:val="1A1A1A"/>
          <w:spacing w:val="80"/>
          <w:sz w:val="24"/>
          <w:szCs w:val="24"/>
        </w:rPr>
        <w:t xml:space="preserve">4. THE SEASIDE BEACON APPROACH</w:t>
      </w:r>
    </w:p>
    <w:p>
      <w:pPr>
        <w:pBdr>
          <w:bottom w:val="single" w:color="D9D3CB" w:sz="4" w:space="1"/>
        </w:pBdr>
        <w:spacing w:before="200" w:after="200"/>
      </w:pPr>
    </w:p>
    <w:p>
      <w:pPr>
        <w:keepLines/>
        <w:spacing w:before="0" w:after="100" w:line="312"/>
      </w:pPr>
      <w:r>
        <w:rPr>
          <w:rFonts w:ascii="Arial" w:cs="Arial" w:eastAsia="Arial" w:hAnsi="Arial"/>
          <w:color w:val="2D2D2D"/>
          <w:sz w:val="21"/>
          <w:szCs w:val="21"/>
        </w:rPr>
        <w:t xml:space="preserve">Seaside Beacon operates on a fundamentally different philosophy: deep local calibration over broad global coverage. Every component of the platform is designed around the specific atmospheric, geographic, and cultural context of Chennai’s coastline.</w:t>
      </w:r>
    </w:p>
    <w:p>
      <w:pPr>
        <w:keepNext/>
        <w:keepLines/>
        <w:spacing w:before="280" w:after="120"/>
      </w:pPr>
      <w:r>
        <w:rPr>
          <w:rFonts w:ascii="Georgia" w:cs="Georgia" w:eastAsia="Georgia" w:hAnsi="Georgia"/>
          <w:i/>
          <w:iCs/>
          <w:color w:val="B8632E"/>
          <w:sz w:val="22"/>
          <w:szCs w:val="22"/>
        </w:rPr>
        <w:t xml:space="preserve">What We Do Differently</w:t>
      </w:r>
    </w:p>
    <w:p>
      <w:pPr>
        <w:pStyle w:val="ListParagraph"/>
        <w:keepNext/>
        <w:keepLines/>
        <w:numPr>
          <w:ilvl w:val="0"/>
          <w:numId w:val="2"/>
        </w:numPr>
      </w:pPr>
      <w:r>
        <w:rPr>
          <w:rFonts w:ascii="Arial" w:cs="Arial" w:eastAsia="Arial" w:hAnsi="Arial"/>
          <w:b/>
          <w:bCs/>
          <w:color w:val="1A1A1A"/>
          <w:sz w:val="21"/>
          <w:szCs w:val="21"/>
        </w:rPr>
        <w:t xml:space="preserve">Locally-calibrated scoring algorithm (v5.2). </w:t>
      </w:r>
      <w:r>
        <w:rPr>
          <w:rFonts w:ascii="Arial" w:cs="Arial" w:eastAsia="Arial" w:hAnsi="Arial"/>
          <w:color w:val="2D2D2D"/>
          <w:sz w:val="21"/>
          <w:szCs w:val="21"/>
        </w:rPr>
        <w:t xml:space="preserve">Our 100-point scoring system assigns weights tuned specifically for Chennai’s coastal atmosphere. Aerosol Optical Depth (AOD) carries 16 points because it is the single most impactful predictor of sunrise colour along the Bay of Bengal coast. Multi-level cloud scoring accounts for 20 points, calibrated for the typical monsoon and post-monsoon cloud patterns unique to this region.</w:t>
      </w:r>
    </w:p>
    <w:p>
      <w:pPr>
        <w:pStyle w:val="ListParagraph"/>
        <w:keepNext/>
        <w:keepLines/>
        <w:numPr>
          <w:ilvl w:val="0"/>
          <w:numId w:val="2"/>
        </w:numPr>
      </w:pPr>
      <w:r>
        <w:rPr>
          <w:rFonts w:ascii="Arial" w:cs="Arial" w:eastAsia="Arial" w:hAnsi="Arial"/>
          <w:b/>
          <w:bCs/>
          <w:color w:val="1A1A1A"/>
          <w:sz w:val="21"/>
          <w:szCs w:val="21"/>
        </w:rPr>
        <w:t xml:space="preserve">Synergy adjustments. </w:t>
      </w:r>
      <w:r>
        <w:rPr>
          <w:rFonts w:ascii="Arial" w:cs="Arial" w:eastAsia="Arial" w:hAnsi="Arial"/>
          <w:color w:val="2D2D2D"/>
          <w:sz w:val="21"/>
          <w:szCs w:val="21"/>
        </w:rPr>
        <w:t xml:space="preserve">A proprietary ±4 point adjustment that fires when humidity, cloud cover, and visibility align in patterns we’ve observed produce exceptional or disappointing results specifically on Chennai’s east-facing coast. No global model accounts for these local correlations.</w:t>
      </w:r>
    </w:p>
    <w:p>
      <w:pPr>
        <w:pStyle w:val="ListParagraph"/>
        <w:keepNext/>
        <w:keepLines/>
        <w:numPr>
          <w:ilvl w:val="0"/>
          <w:numId w:val="2"/>
        </w:numPr>
      </w:pPr>
      <w:r>
        <w:rPr>
          <w:rFonts w:ascii="Arial" w:cs="Arial" w:eastAsia="Arial" w:hAnsi="Arial"/>
          <w:b/>
          <w:bCs/>
          <w:color w:val="1A1A1A"/>
          <w:sz w:val="21"/>
          <w:szCs w:val="21"/>
        </w:rPr>
        <w:t xml:space="preserve">Post-rain bonus system. </w:t>
      </w:r>
      <w:r>
        <w:rPr>
          <w:rFonts w:ascii="Arial" w:cs="Arial" w:eastAsia="Arial" w:hAnsi="Arial"/>
          <w:color w:val="2D2D2D"/>
          <w:sz w:val="21"/>
          <w:szCs w:val="21"/>
        </w:rPr>
        <w:t xml:space="preserve">An +8 point bonus triggered when overnight rainfall washes aerosols from the atmosphere, creating the crystal-clear conditions that produce Chennai’s most spectacular sunrises. This is a phenomenon highly specific to tropical coastal cities and has no equivalent in global models.</w:t>
      </w:r>
    </w:p>
    <w:p>
      <w:pPr>
        <w:pStyle w:val="ListParagraph"/>
        <w:keepNext/>
        <w:keepLines/>
        <w:numPr>
          <w:ilvl w:val="0"/>
          <w:numId w:val="2"/>
        </w:numPr>
      </w:pPr>
      <w:r>
        <w:rPr>
          <w:rFonts w:ascii="Arial" w:cs="Arial" w:eastAsia="Arial" w:hAnsi="Arial"/>
          <w:b/>
          <w:bCs/>
          <w:color w:val="1A1A1A"/>
          <w:sz w:val="21"/>
          <w:szCs w:val="21"/>
        </w:rPr>
        <w:t xml:space="preserve">Beach-specific intelligence. </w:t>
      </w:r>
      <w:r>
        <w:rPr>
          <w:rFonts w:ascii="Arial" w:cs="Arial" w:eastAsia="Arial" w:hAnsi="Arial"/>
          <w:color w:val="2D2D2D"/>
          <w:sz w:val="21"/>
          <w:szCs w:val="21"/>
        </w:rPr>
        <w:t xml:space="preserve">Each of our four beaches (Marina, Elliot’s, Covelong, Thiruvanmiyur) receives an independently calculated prediction. Covelong’s rock formations and south-facing orientation create different sunrise dynamics than Marina’s open northern shoreline, and our model reflects this.</w:t>
      </w:r>
    </w:p>
    <w:p>
      <w:pPr>
        <w:pStyle w:val="ListParagraph"/>
        <w:keepLines/>
        <w:numPr>
          <w:ilvl w:val="0"/>
          <w:numId w:val="2"/>
        </w:numPr>
      </w:pPr>
      <w:r>
        <w:rPr>
          <w:rFonts w:ascii="Arial" w:cs="Arial" w:eastAsia="Arial" w:hAnsi="Arial"/>
          <w:b/>
          <w:bCs/>
          <w:color w:val="1A1A1A"/>
          <w:sz w:val="21"/>
          <w:szCs w:val="21"/>
        </w:rPr>
        <w:t xml:space="preserve">AI-enhanced insights with local context. </w:t>
      </w:r>
      <w:r>
        <w:rPr>
          <w:rFonts w:ascii="Arial" w:cs="Arial" w:eastAsia="Arial" w:hAnsi="Arial"/>
          <w:color w:val="2D2D2D"/>
          <w:sz w:val="21"/>
          <w:szCs w:val="21"/>
        </w:rPr>
        <w:t xml:space="preserve">Our three-tier AI cascade (Gemini Flash → Groq Llama → Flash-Lite → rule-based) generates beach-specific photography advice, “what you’ll see” descriptions, and personalised “worth waking up?” recommendations. These aren’t generic weather summaries — they reference specific landmarks, local conditions, and beach character.</w:t>
      </w:r>
    </w:p>
    <w:p>
      <w:pPr>
        <w:keepNext/>
        <w:keepLines/>
        <w:spacing w:before="360" w:after="160"/>
      </w:pPr>
      <w:r>
        <w:rPr>
          <w:rFonts w:ascii="Georgia" w:cs="Georgia" w:eastAsia="Georgia" w:hAnsi="Georgia"/>
          <w:b/>
          <w:bCs/>
          <w:color w:val="1A1A1A"/>
          <w:spacing w:val="80"/>
          <w:sz w:val="24"/>
          <w:szCs w:val="24"/>
        </w:rPr>
        <w:t xml:space="preserve">5. TECHNICAL DIFFERENTIATION</w:t>
      </w:r>
    </w:p>
    <w:p>
      <w:pPr>
        <w:pBdr>
          <w:bottom w:val="single" w:color="D9D3CB" w:sz="4" w:space="1"/>
        </w:pBdr>
        <w:spacing w:before="200" w:after="200"/>
      </w:pPr>
    </w:p>
    <w:p>
      <w:pPr>
        <w:keepLines/>
        <w:spacing w:before="0" w:after="100" w:line="312"/>
      </w:pPr>
      <w:r>
        <w:rPr>
          <w:rFonts w:ascii="Arial" w:cs="Arial" w:eastAsia="Arial" w:hAnsi="Arial"/>
          <w:color w:val="2D2D2D"/>
          <w:sz w:val="21"/>
          <w:szCs w:val="21"/>
        </w:rPr>
        <w:t xml:space="preserve">The following comparison highlights the technical depth gap between Seaside Beacon and the global competitor approach.</w:t>
      </w:r>
    </w:p>
    <w:p>
      <w:pPr>
        <w:spacing w:before="120" w:after="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200"/>
      </w:tblGrid>
      <w:tr>
        <w:tc>
          <w:tcPr>
            <w:tcW w:type="dxa" w:w="2800"/>
            <w:tcBorders>
              <w:top w:val="single" w:color="D9D3CB" w:sz="1"/>
              <w:left w:val="single" w:color="D9D3CB" w:sz="1"/>
              <w:bottom w:val="single" w:color="D9D3CB" w:sz="1"/>
              <w:right w:val="single" w:color="D9D3CB" w:sz="1"/>
            </w:tcBorders>
            <w:shd w:fill="1A1A1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Capability</w:t>
            </w:r>
          </w:p>
        </w:tc>
        <w:tc>
          <w:tcPr>
            <w:tcW w:type="dxa" w:w="3100"/>
            <w:tcBorders>
              <w:top w:val="single" w:color="D9D3CB" w:sz="1"/>
              <w:left w:val="single" w:color="D9D3CB" w:sz="1"/>
              <w:bottom w:val="single" w:color="D9D3CB" w:sz="1"/>
              <w:right w:val="single" w:color="D9D3CB" w:sz="1"/>
            </w:tcBorders>
            <w:shd w:fill="1A1A1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Global Competitors</w:t>
            </w:r>
          </w:p>
        </w:tc>
        <w:tc>
          <w:tcPr>
            <w:tcW w:type="dxa" w:w="3200"/>
            <w:tcBorders>
              <w:top w:val="single" w:color="D9D3CB" w:sz="1"/>
              <w:left w:val="single" w:color="D9D3CB" w:sz="1"/>
              <w:bottom w:val="single" w:color="D9D3CB" w:sz="1"/>
              <w:right w:val="single" w:color="D9D3CB" w:sz="1"/>
            </w:tcBorders>
            <w:shd w:fill="1A1A1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Seaside Beacon</w:t>
            </w:r>
          </w:p>
        </w:tc>
      </w:tr>
      <w:tr>
        <w:tc>
          <w:tcPr>
            <w:tcW w:type="dxa" w:w="2800"/>
            <w:tcBorders>
              <w:top w:val="single" w:color="D9D3CB" w:sz="1"/>
              <w:left w:val="single" w:color="D9D3CB" w:sz="1"/>
              <w:bottom w:val="single" w:color="D9D3CB" w:sz="1"/>
              <w:right w:val="single" w:color="D9D3CB" w:sz="1"/>
            </w:tcBorders>
            <w:shd w:fill="FAFAF8" w:val="clear"/>
            <w:tcMar>
              <w:top w:type="dxa" w:w="70"/>
              <w:left w:type="dxa" w:w="120"/>
              <w:bottom w:type="dxa" w:w="70"/>
              <w:right w:type="dxa" w:w="120"/>
            </w:tcMar>
          </w:tcPr>
          <w:p>
            <w:pPr>
              <w:spacing w:before="0" w:after="0"/>
            </w:pPr>
            <w:r>
              <w:rPr>
                <w:rFonts w:ascii="Arial" w:cs="Arial" w:eastAsia="Arial" w:hAnsi="Arial"/>
                <w:b/>
                <w:bCs/>
                <w:color w:val="1A1A1A"/>
                <w:sz w:val="17"/>
                <w:szCs w:val="17"/>
              </w:rPr>
              <w:t xml:space="preserve">Scoring factors</w:t>
            </w:r>
          </w:p>
        </w:tc>
        <w:tc>
          <w:tcPr>
            <w:tcW w:type="dxa" w:w="3100"/>
            <w:tcBorders>
              <w:top w:val="single" w:color="D9D3CB" w:sz="1"/>
              <w:left w:val="single" w:color="D9D3CB" w:sz="1"/>
              <w:bottom w:val="single" w:color="D9D3CB" w:sz="1"/>
              <w:right w:val="single" w:color="D9D3CB" w:sz="1"/>
            </w:tcBorders>
            <w:shd w:fill="FAFAF8" w:val="clear"/>
            <w:tcMar>
              <w:top w:type="dxa" w:w="70"/>
              <w:left w:type="dxa" w:w="120"/>
              <w:bottom w:type="dxa" w:w="70"/>
              <w:right w:type="dxa" w:w="120"/>
            </w:tcMar>
          </w:tcPr>
          <w:p>
            <w:pPr>
              <w:spacing w:before="0" w:after="0"/>
            </w:pPr>
            <w:r>
              <w:rPr>
                <w:rFonts w:ascii="Arial" w:cs="Arial" w:eastAsia="Arial" w:hAnsi="Arial"/>
                <w:b w:val="false"/>
                <w:bCs w:val="false"/>
                <w:color w:val="2D2D2D"/>
                <w:sz w:val="17"/>
                <w:szCs w:val="17"/>
              </w:rPr>
              <w:t xml:space="preserve">~20 generic atmospheric</w:t>
            </w:r>
          </w:p>
        </w:tc>
        <w:tc>
          <w:tcPr>
            <w:tcW w:type="dxa" w:w="3200"/>
            <w:tcBorders>
              <w:top w:val="single" w:color="D9D3CB" w:sz="1"/>
              <w:left w:val="single" w:color="D9D3CB" w:sz="1"/>
              <w:bottom w:val="single" w:color="D9D3CB" w:sz="1"/>
              <w:right w:val="single" w:color="D9D3CB" w:sz="1"/>
            </w:tcBorders>
            <w:shd w:fill="FAFAF8" w:val="clear"/>
            <w:tcMar>
              <w:top w:type="dxa" w:w="70"/>
              <w:left w:type="dxa" w:w="120"/>
              <w:bottom w:type="dxa" w:w="70"/>
              <w:right w:type="dxa" w:w="120"/>
            </w:tcMar>
          </w:tcPr>
          <w:p>
            <w:pPr>
              <w:spacing w:before="0" w:after="0"/>
            </w:pPr>
            <w:r>
              <w:rPr>
                <w:rFonts w:ascii="Arial" w:cs="Arial" w:eastAsia="Arial" w:hAnsi="Arial"/>
                <w:b w:val="false"/>
                <w:bCs w:val="false"/>
                <w:color w:val="2D2D2D"/>
                <w:sz w:val="17"/>
                <w:szCs w:val="17"/>
              </w:rPr>
              <w:t xml:space="preserve">8 calibrated + 3 bonus systems</w:t>
            </w:r>
          </w:p>
        </w:tc>
      </w:tr>
      <w:tr>
        <w:tc>
          <w:tcPr>
            <w:tcW w:type="dxa" w:w="2800"/>
            <w:tcBorders>
              <w:top w:val="single" w:color="D9D3CB" w:sz="1"/>
              <w:left w:val="single" w:color="D9D3CB" w:sz="1"/>
              <w:bottom w:val="single" w:color="D9D3CB" w:sz="1"/>
              <w:right w:val="single" w:color="D9D3CB" w:sz="1"/>
            </w:tcBorders>
            <w:shd w:fill="FFFFFF" w:val="clear"/>
            <w:tcMar>
              <w:top w:type="dxa" w:w="70"/>
              <w:left w:type="dxa" w:w="120"/>
              <w:bottom w:type="dxa" w:w="70"/>
              <w:right w:type="dxa" w:w="120"/>
            </w:tcMar>
          </w:tcPr>
          <w:p>
            <w:pPr>
              <w:spacing w:before="0" w:after="0"/>
            </w:pPr>
            <w:r>
              <w:rPr>
                <w:rFonts w:ascii="Arial" w:cs="Arial" w:eastAsia="Arial" w:hAnsi="Arial"/>
                <w:b/>
                <w:bCs/>
                <w:color w:val="1A1A1A"/>
                <w:sz w:val="17"/>
                <w:szCs w:val="17"/>
              </w:rPr>
              <w:t xml:space="preserve">AOD integration</w:t>
            </w:r>
          </w:p>
        </w:tc>
        <w:tc>
          <w:tcPr>
            <w:tcW w:type="dxa" w:w="3100"/>
            <w:tcBorders>
              <w:top w:val="single" w:color="D9D3CB" w:sz="1"/>
              <w:left w:val="single" w:color="D9D3CB" w:sz="1"/>
              <w:bottom w:val="single" w:color="D9D3CB" w:sz="1"/>
              <w:right w:val="single" w:color="D9D3C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2D2D2D"/>
                <w:sz w:val="17"/>
                <w:szCs w:val="17"/>
              </w:rPr>
              <w:t xml:space="preserve">Not used</w:t>
            </w:r>
          </w:p>
        </w:tc>
        <w:tc>
          <w:tcPr>
            <w:tcW w:type="dxa" w:w="3200"/>
            <w:tcBorders>
              <w:top w:val="single" w:color="D9D3CB" w:sz="1"/>
              <w:left w:val="single" w:color="D9D3CB" w:sz="1"/>
              <w:bottom w:val="single" w:color="D9D3CB" w:sz="1"/>
              <w:right w:val="single" w:color="D9D3C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2D2D2D"/>
                <w:sz w:val="17"/>
                <w:szCs w:val="17"/>
              </w:rPr>
              <w:t xml:space="preserve">16-point weighted (primary predictor)</w:t>
            </w:r>
          </w:p>
        </w:tc>
      </w:tr>
      <w:tr>
        <w:tc>
          <w:tcPr>
            <w:tcW w:type="dxa" w:w="2800"/>
            <w:tcBorders>
              <w:top w:val="single" w:color="D9D3CB" w:sz="1"/>
              <w:left w:val="single" w:color="D9D3CB" w:sz="1"/>
              <w:bottom w:val="single" w:color="D9D3CB" w:sz="1"/>
              <w:right w:val="single" w:color="D9D3CB" w:sz="1"/>
            </w:tcBorders>
            <w:shd w:fill="FAFAF8" w:val="clear"/>
            <w:tcMar>
              <w:top w:type="dxa" w:w="70"/>
              <w:left w:type="dxa" w:w="120"/>
              <w:bottom w:type="dxa" w:w="70"/>
              <w:right w:type="dxa" w:w="120"/>
            </w:tcMar>
          </w:tcPr>
          <w:p>
            <w:pPr>
              <w:spacing w:before="0" w:after="0"/>
            </w:pPr>
            <w:r>
              <w:rPr>
                <w:rFonts w:ascii="Arial" w:cs="Arial" w:eastAsia="Arial" w:hAnsi="Arial"/>
                <w:b/>
                <w:bCs/>
                <w:color w:val="1A1A1A"/>
                <w:sz w:val="17"/>
                <w:szCs w:val="17"/>
              </w:rPr>
              <w:t xml:space="preserve">Cloud analysis</w:t>
            </w:r>
          </w:p>
        </w:tc>
        <w:tc>
          <w:tcPr>
            <w:tcW w:type="dxa" w:w="3100"/>
            <w:tcBorders>
              <w:top w:val="single" w:color="D9D3CB" w:sz="1"/>
              <w:left w:val="single" w:color="D9D3CB" w:sz="1"/>
              <w:bottom w:val="single" w:color="D9D3CB" w:sz="1"/>
              <w:right w:val="single" w:color="D9D3CB" w:sz="1"/>
            </w:tcBorders>
            <w:shd w:fill="FAFAF8" w:val="clear"/>
            <w:tcMar>
              <w:top w:type="dxa" w:w="70"/>
              <w:left w:type="dxa" w:w="120"/>
              <w:bottom w:type="dxa" w:w="70"/>
              <w:right w:type="dxa" w:w="120"/>
            </w:tcMar>
          </w:tcPr>
          <w:p>
            <w:pPr>
              <w:spacing w:before="0" w:after="0"/>
            </w:pPr>
            <w:r>
              <w:rPr>
                <w:rFonts w:ascii="Arial" w:cs="Arial" w:eastAsia="Arial" w:hAnsi="Arial"/>
                <w:b w:val="false"/>
                <w:bCs w:val="false"/>
                <w:color w:val="2D2D2D"/>
                <w:sz w:val="17"/>
                <w:szCs w:val="17"/>
              </w:rPr>
              <w:t xml:space="preserve">Total cloud cover only</w:t>
            </w:r>
          </w:p>
        </w:tc>
        <w:tc>
          <w:tcPr>
            <w:tcW w:type="dxa" w:w="3200"/>
            <w:tcBorders>
              <w:top w:val="single" w:color="D9D3CB" w:sz="1"/>
              <w:left w:val="single" w:color="D9D3CB" w:sz="1"/>
              <w:bottom w:val="single" w:color="D9D3CB" w:sz="1"/>
              <w:right w:val="single" w:color="D9D3CB" w:sz="1"/>
            </w:tcBorders>
            <w:shd w:fill="FAFAF8" w:val="clear"/>
            <w:tcMar>
              <w:top w:type="dxa" w:w="70"/>
              <w:left w:type="dxa" w:w="120"/>
              <w:bottom w:type="dxa" w:w="70"/>
              <w:right w:type="dxa" w:w="120"/>
            </w:tcMar>
          </w:tcPr>
          <w:p>
            <w:pPr>
              <w:spacing w:before="0" w:after="0"/>
            </w:pPr>
            <w:r>
              <w:rPr>
                <w:rFonts w:ascii="Arial" w:cs="Arial" w:eastAsia="Arial" w:hAnsi="Arial"/>
                <w:b w:val="false"/>
                <w:bCs w:val="false"/>
                <w:color w:val="2D2D2D"/>
                <w:sz w:val="17"/>
                <w:szCs w:val="17"/>
              </w:rPr>
              <w:t xml:space="preserve">Multi-level: high, mid, low + stratus penalty</w:t>
            </w:r>
          </w:p>
        </w:tc>
      </w:tr>
      <w:tr>
        <w:tc>
          <w:tcPr>
            <w:tcW w:type="dxa" w:w="2800"/>
            <w:tcBorders>
              <w:top w:val="single" w:color="D9D3CB" w:sz="1"/>
              <w:left w:val="single" w:color="D9D3CB" w:sz="1"/>
              <w:bottom w:val="single" w:color="D9D3CB" w:sz="1"/>
              <w:right w:val="single" w:color="D9D3CB" w:sz="1"/>
            </w:tcBorders>
            <w:shd w:fill="FFFFFF" w:val="clear"/>
            <w:tcMar>
              <w:top w:type="dxa" w:w="70"/>
              <w:left w:type="dxa" w:w="120"/>
              <w:bottom w:type="dxa" w:w="70"/>
              <w:right w:type="dxa" w:w="120"/>
            </w:tcMar>
          </w:tcPr>
          <w:p>
            <w:pPr>
              <w:spacing w:before="0" w:after="0"/>
            </w:pPr>
            <w:r>
              <w:rPr>
                <w:rFonts w:ascii="Arial" w:cs="Arial" w:eastAsia="Arial" w:hAnsi="Arial"/>
                <w:b/>
                <w:bCs/>
                <w:color w:val="1A1A1A"/>
                <w:sz w:val="17"/>
                <w:szCs w:val="17"/>
              </w:rPr>
              <w:t xml:space="preserve">Local calibration</w:t>
            </w:r>
          </w:p>
        </w:tc>
        <w:tc>
          <w:tcPr>
            <w:tcW w:type="dxa" w:w="3100"/>
            <w:tcBorders>
              <w:top w:val="single" w:color="D9D3CB" w:sz="1"/>
              <w:left w:val="single" w:color="D9D3CB" w:sz="1"/>
              <w:bottom w:val="single" w:color="D9D3CB" w:sz="1"/>
              <w:right w:val="single" w:color="D9D3C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2D2D2D"/>
                <w:sz w:val="17"/>
                <w:szCs w:val="17"/>
              </w:rPr>
              <w:t xml:space="preserve">None — same formula globally</w:t>
            </w:r>
          </w:p>
        </w:tc>
        <w:tc>
          <w:tcPr>
            <w:tcW w:type="dxa" w:w="3200"/>
            <w:tcBorders>
              <w:top w:val="single" w:color="D9D3CB" w:sz="1"/>
              <w:left w:val="single" w:color="D9D3CB" w:sz="1"/>
              <w:bottom w:val="single" w:color="D9D3CB" w:sz="1"/>
              <w:right w:val="single" w:color="D9D3C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2D2D2D"/>
                <w:sz w:val="17"/>
                <w:szCs w:val="17"/>
              </w:rPr>
              <w:t xml:space="preserve">Beach-specific weights &amp; thresholds</w:t>
            </w:r>
          </w:p>
        </w:tc>
      </w:tr>
      <w:tr>
        <w:tc>
          <w:tcPr>
            <w:tcW w:type="dxa" w:w="2800"/>
            <w:tcBorders>
              <w:top w:val="single" w:color="D9D3CB" w:sz="1"/>
              <w:left w:val="single" w:color="D9D3CB" w:sz="1"/>
              <w:bottom w:val="single" w:color="D9D3CB" w:sz="1"/>
              <w:right w:val="single" w:color="D9D3CB" w:sz="1"/>
            </w:tcBorders>
            <w:shd w:fill="FAFAF8" w:val="clear"/>
            <w:tcMar>
              <w:top w:type="dxa" w:w="70"/>
              <w:left w:type="dxa" w:w="120"/>
              <w:bottom w:type="dxa" w:w="70"/>
              <w:right w:type="dxa" w:w="120"/>
            </w:tcMar>
          </w:tcPr>
          <w:p>
            <w:pPr>
              <w:spacing w:before="0" w:after="0"/>
            </w:pPr>
            <w:r>
              <w:rPr>
                <w:rFonts w:ascii="Arial" w:cs="Arial" w:eastAsia="Arial" w:hAnsi="Arial"/>
                <w:b/>
                <w:bCs/>
                <w:color w:val="1A1A1A"/>
                <w:sz w:val="17"/>
                <w:szCs w:val="17"/>
              </w:rPr>
              <w:t xml:space="preserve">Post-rain detection</w:t>
            </w:r>
          </w:p>
        </w:tc>
        <w:tc>
          <w:tcPr>
            <w:tcW w:type="dxa" w:w="3100"/>
            <w:tcBorders>
              <w:top w:val="single" w:color="D9D3CB" w:sz="1"/>
              <w:left w:val="single" w:color="D9D3CB" w:sz="1"/>
              <w:bottom w:val="single" w:color="D9D3CB" w:sz="1"/>
              <w:right w:val="single" w:color="D9D3CB" w:sz="1"/>
            </w:tcBorders>
            <w:shd w:fill="FAFAF8" w:val="clear"/>
            <w:tcMar>
              <w:top w:type="dxa" w:w="70"/>
              <w:left w:type="dxa" w:w="120"/>
              <w:bottom w:type="dxa" w:w="70"/>
              <w:right w:type="dxa" w:w="120"/>
            </w:tcMar>
          </w:tcPr>
          <w:p>
            <w:pPr>
              <w:spacing w:before="0" w:after="0"/>
            </w:pPr>
            <w:r>
              <w:rPr>
                <w:rFonts w:ascii="Arial" w:cs="Arial" w:eastAsia="Arial" w:hAnsi="Arial"/>
                <w:b w:val="false"/>
                <w:bCs w:val="false"/>
                <w:color w:val="2D2D2D"/>
                <w:sz w:val="17"/>
                <w:szCs w:val="17"/>
              </w:rPr>
              <w:t xml:space="preserve">Not tracked</w:t>
            </w:r>
          </w:p>
        </w:tc>
        <w:tc>
          <w:tcPr>
            <w:tcW w:type="dxa" w:w="3200"/>
            <w:tcBorders>
              <w:top w:val="single" w:color="D9D3CB" w:sz="1"/>
              <w:left w:val="single" w:color="D9D3CB" w:sz="1"/>
              <w:bottom w:val="single" w:color="D9D3CB" w:sz="1"/>
              <w:right w:val="single" w:color="D9D3CB" w:sz="1"/>
            </w:tcBorders>
            <w:shd w:fill="FAFAF8" w:val="clear"/>
            <w:tcMar>
              <w:top w:type="dxa" w:w="70"/>
              <w:left w:type="dxa" w:w="120"/>
              <w:bottom w:type="dxa" w:w="70"/>
              <w:right w:type="dxa" w:w="120"/>
            </w:tcMar>
          </w:tcPr>
          <w:p>
            <w:pPr>
              <w:spacing w:before="0" w:after="0"/>
            </w:pPr>
            <w:r>
              <w:rPr>
                <w:rFonts w:ascii="Arial" w:cs="Arial" w:eastAsia="Arial" w:hAnsi="Arial"/>
                <w:b w:val="false"/>
                <w:bCs w:val="false"/>
                <w:color w:val="2D2D2D"/>
                <w:sz w:val="17"/>
                <w:szCs w:val="17"/>
              </w:rPr>
              <w:t xml:space="preserve">+8 bonus for aerosol washout</w:t>
            </w:r>
          </w:p>
        </w:tc>
      </w:tr>
      <w:tr>
        <w:tc>
          <w:tcPr>
            <w:tcW w:type="dxa" w:w="2800"/>
            <w:tcBorders>
              <w:top w:val="single" w:color="D9D3CB" w:sz="1"/>
              <w:left w:val="single" w:color="D9D3CB" w:sz="1"/>
              <w:bottom w:val="single" w:color="D9D3CB" w:sz="1"/>
              <w:right w:val="single" w:color="D9D3CB" w:sz="1"/>
            </w:tcBorders>
            <w:shd w:fill="FFFFFF" w:val="clear"/>
            <w:tcMar>
              <w:top w:type="dxa" w:w="70"/>
              <w:left w:type="dxa" w:w="120"/>
              <w:bottom w:type="dxa" w:w="70"/>
              <w:right w:type="dxa" w:w="120"/>
            </w:tcMar>
          </w:tcPr>
          <w:p>
            <w:pPr>
              <w:spacing w:before="0" w:after="0"/>
            </w:pPr>
            <w:r>
              <w:rPr>
                <w:rFonts w:ascii="Arial" w:cs="Arial" w:eastAsia="Arial" w:hAnsi="Arial"/>
                <w:b/>
                <w:bCs/>
                <w:color w:val="1A1A1A"/>
                <w:sz w:val="17"/>
                <w:szCs w:val="17"/>
              </w:rPr>
              <w:t xml:space="preserve">Synergy modelling</w:t>
            </w:r>
          </w:p>
        </w:tc>
        <w:tc>
          <w:tcPr>
            <w:tcW w:type="dxa" w:w="3100"/>
            <w:tcBorders>
              <w:top w:val="single" w:color="D9D3CB" w:sz="1"/>
              <w:left w:val="single" w:color="D9D3CB" w:sz="1"/>
              <w:bottom w:val="single" w:color="D9D3CB" w:sz="1"/>
              <w:right w:val="single" w:color="D9D3C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2D2D2D"/>
                <w:sz w:val="17"/>
                <w:szCs w:val="17"/>
              </w:rPr>
              <w:t xml:space="preserve">Not present</w:t>
            </w:r>
          </w:p>
        </w:tc>
        <w:tc>
          <w:tcPr>
            <w:tcW w:type="dxa" w:w="3200"/>
            <w:tcBorders>
              <w:top w:val="single" w:color="D9D3CB" w:sz="1"/>
              <w:left w:val="single" w:color="D9D3CB" w:sz="1"/>
              <w:bottom w:val="single" w:color="D9D3CB" w:sz="1"/>
              <w:right w:val="single" w:color="D9D3C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2D2D2D"/>
                <w:sz w:val="17"/>
                <w:szCs w:val="17"/>
              </w:rPr>
              <w:t xml:space="preserve">±4 pts for humidity/cloud/visibility alignment</w:t>
            </w:r>
          </w:p>
        </w:tc>
      </w:tr>
      <w:tr>
        <w:tc>
          <w:tcPr>
            <w:tcW w:type="dxa" w:w="2800"/>
            <w:tcBorders>
              <w:top w:val="single" w:color="D9D3CB" w:sz="1"/>
              <w:left w:val="single" w:color="D9D3CB" w:sz="1"/>
              <w:bottom w:val="single" w:color="D9D3CB" w:sz="1"/>
              <w:right w:val="single" w:color="D9D3CB" w:sz="1"/>
            </w:tcBorders>
            <w:shd w:fill="FAFAF8" w:val="clear"/>
            <w:tcMar>
              <w:top w:type="dxa" w:w="70"/>
              <w:left w:type="dxa" w:w="120"/>
              <w:bottom w:type="dxa" w:w="70"/>
              <w:right w:type="dxa" w:w="120"/>
            </w:tcMar>
          </w:tcPr>
          <w:p>
            <w:pPr>
              <w:spacing w:before="0" w:after="0"/>
            </w:pPr>
            <w:r>
              <w:rPr>
                <w:rFonts w:ascii="Arial" w:cs="Arial" w:eastAsia="Arial" w:hAnsi="Arial"/>
                <w:b/>
                <w:bCs/>
                <w:color w:val="1A1A1A"/>
                <w:sz w:val="17"/>
                <w:szCs w:val="17"/>
              </w:rPr>
              <w:t xml:space="preserve">Photography guidance</w:t>
            </w:r>
          </w:p>
        </w:tc>
        <w:tc>
          <w:tcPr>
            <w:tcW w:type="dxa" w:w="3100"/>
            <w:tcBorders>
              <w:top w:val="single" w:color="D9D3CB" w:sz="1"/>
              <w:left w:val="single" w:color="D9D3CB" w:sz="1"/>
              <w:bottom w:val="single" w:color="D9D3CB" w:sz="1"/>
              <w:right w:val="single" w:color="D9D3CB" w:sz="1"/>
            </w:tcBorders>
            <w:shd w:fill="FAFAF8" w:val="clear"/>
            <w:tcMar>
              <w:top w:type="dxa" w:w="70"/>
              <w:left w:type="dxa" w:w="120"/>
              <w:bottom w:type="dxa" w:w="70"/>
              <w:right w:type="dxa" w:w="120"/>
            </w:tcMar>
          </w:tcPr>
          <w:p>
            <w:pPr>
              <w:spacing w:before="0" w:after="0"/>
            </w:pPr>
            <w:r>
              <w:rPr>
                <w:rFonts w:ascii="Arial" w:cs="Arial" w:eastAsia="Arial" w:hAnsi="Arial"/>
                <w:b w:val="false"/>
                <w:bCs w:val="false"/>
                <w:color w:val="2D2D2D"/>
                <w:sz w:val="17"/>
                <w:szCs w:val="17"/>
              </w:rPr>
              <w:t xml:space="preserve">None or generic tips</w:t>
            </w:r>
          </w:p>
        </w:tc>
        <w:tc>
          <w:tcPr>
            <w:tcW w:type="dxa" w:w="3200"/>
            <w:tcBorders>
              <w:top w:val="single" w:color="D9D3CB" w:sz="1"/>
              <w:left w:val="single" w:color="D9D3CB" w:sz="1"/>
              <w:bottom w:val="single" w:color="D9D3CB" w:sz="1"/>
              <w:right w:val="single" w:color="D9D3CB" w:sz="1"/>
            </w:tcBorders>
            <w:shd w:fill="FAFAF8" w:val="clear"/>
            <w:tcMar>
              <w:top w:type="dxa" w:w="70"/>
              <w:left w:type="dxa" w:w="120"/>
              <w:bottom w:type="dxa" w:w="70"/>
              <w:right w:type="dxa" w:w="120"/>
            </w:tcMar>
          </w:tcPr>
          <w:p>
            <w:pPr>
              <w:spacing w:before="0" w:after="0"/>
            </w:pPr>
            <w:r>
              <w:rPr>
                <w:rFonts w:ascii="Arial" w:cs="Arial" w:eastAsia="Arial" w:hAnsi="Arial"/>
                <w:b w:val="false"/>
                <w:bCs w:val="false"/>
                <w:color w:val="2D2D2D"/>
                <w:sz w:val="17"/>
                <w:szCs w:val="17"/>
              </w:rPr>
              <w:t xml:space="preserve">Rule-based camera settings per beach</w:t>
            </w:r>
          </w:p>
        </w:tc>
      </w:tr>
      <w:tr>
        <w:tc>
          <w:tcPr>
            <w:tcW w:type="dxa" w:w="2800"/>
            <w:tcBorders>
              <w:top w:val="single" w:color="D9D3CB" w:sz="1"/>
              <w:left w:val="single" w:color="D9D3CB" w:sz="1"/>
              <w:bottom w:val="single" w:color="D9D3CB" w:sz="1"/>
              <w:right w:val="single" w:color="D9D3CB" w:sz="1"/>
            </w:tcBorders>
            <w:shd w:fill="FFFFFF" w:val="clear"/>
            <w:tcMar>
              <w:top w:type="dxa" w:w="70"/>
              <w:left w:type="dxa" w:w="120"/>
              <w:bottom w:type="dxa" w:w="70"/>
              <w:right w:type="dxa" w:w="120"/>
            </w:tcMar>
          </w:tcPr>
          <w:p>
            <w:pPr>
              <w:spacing w:before="0" w:after="0"/>
            </w:pPr>
            <w:r>
              <w:rPr>
                <w:rFonts w:ascii="Arial" w:cs="Arial" w:eastAsia="Arial" w:hAnsi="Arial"/>
                <w:b/>
                <w:bCs/>
                <w:color w:val="1A1A1A"/>
                <w:sz w:val="17"/>
                <w:szCs w:val="17"/>
              </w:rPr>
              <w:t xml:space="preserve">AI analysis</w:t>
            </w:r>
          </w:p>
        </w:tc>
        <w:tc>
          <w:tcPr>
            <w:tcW w:type="dxa" w:w="3100"/>
            <w:tcBorders>
              <w:top w:val="single" w:color="D9D3CB" w:sz="1"/>
              <w:left w:val="single" w:color="D9D3CB" w:sz="1"/>
              <w:bottom w:val="single" w:color="D9D3CB" w:sz="1"/>
              <w:right w:val="single" w:color="D9D3C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2D2D2D"/>
                <w:sz w:val="17"/>
                <w:szCs w:val="17"/>
              </w:rPr>
              <w:t xml:space="preserve">None</w:t>
            </w:r>
          </w:p>
        </w:tc>
        <w:tc>
          <w:tcPr>
            <w:tcW w:type="dxa" w:w="3200"/>
            <w:tcBorders>
              <w:top w:val="single" w:color="D9D3CB" w:sz="1"/>
              <w:left w:val="single" w:color="D9D3CB" w:sz="1"/>
              <w:bottom w:val="single" w:color="D9D3CB" w:sz="1"/>
              <w:right w:val="single" w:color="D9D3C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2D2D2D"/>
                <w:sz w:val="17"/>
                <w:szCs w:val="17"/>
              </w:rPr>
              <w:t xml:space="preserve">3-tier cascade with local context</w:t>
            </w:r>
          </w:p>
        </w:tc>
      </w:tr>
      <w:tr>
        <w:tc>
          <w:tcPr>
            <w:tcW w:type="dxa" w:w="2800"/>
            <w:tcBorders>
              <w:top w:val="single" w:color="D9D3CB" w:sz="1"/>
              <w:left w:val="single" w:color="D9D3CB" w:sz="1"/>
              <w:bottom w:val="single" w:color="D9D3CB" w:sz="1"/>
              <w:right w:val="single" w:color="D9D3CB" w:sz="1"/>
            </w:tcBorders>
            <w:shd w:fill="FAFAF8" w:val="clear"/>
            <w:tcMar>
              <w:top w:type="dxa" w:w="70"/>
              <w:left w:type="dxa" w:w="120"/>
              <w:bottom w:type="dxa" w:w="70"/>
              <w:right w:type="dxa" w:w="120"/>
            </w:tcMar>
          </w:tcPr>
          <w:p>
            <w:pPr>
              <w:spacing w:before="0" w:after="0"/>
            </w:pPr>
            <w:r>
              <w:rPr>
                <w:rFonts w:ascii="Arial" w:cs="Arial" w:eastAsia="Arial" w:hAnsi="Arial"/>
                <w:b/>
                <w:bCs/>
                <w:color w:val="1A1A1A"/>
                <w:sz w:val="17"/>
                <w:szCs w:val="17"/>
              </w:rPr>
              <w:t xml:space="preserve">Forecast update freq.</w:t>
            </w:r>
          </w:p>
        </w:tc>
        <w:tc>
          <w:tcPr>
            <w:tcW w:type="dxa" w:w="3100"/>
            <w:tcBorders>
              <w:top w:val="single" w:color="D9D3CB" w:sz="1"/>
              <w:left w:val="single" w:color="D9D3CB" w:sz="1"/>
              <w:bottom w:val="single" w:color="D9D3CB" w:sz="1"/>
              <w:right w:val="single" w:color="D9D3CB" w:sz="1"/>
            </w:tcBorders>
            <w:shd w:fill="FAFAF8" w:val="clear"/>
            <w:tcMar>
              <w:top w:type="dxa" w:w="70"/>
              <w:left w:type="dxa" w:w="120"/>
              <w:bottom w:type="dxa" w:w="70"/>
              <w:right w:type="dxa" w:w="120"/>
            </w:tcMar>
          </w:tcPr>
          <w:p>
            <w:pPr>
              <w:spacing w:before="0" w:after="0"/>
            </w:pPr>
            <w:r>
              <w:rPr>
                <w:rFonts w:ascii="Arial" w:cs="Arial" w:eastAsia="Arial" w:hAnsi="Arial"/>
                <w:b w:val="false"/>
                <w:bCs w:val="false"/>
                <w:color w:val="2D2D2D"/>
                <w:sz w:val="17"/>
                <w:szCs w:val="17"/>
              </w:rPr>
              <w:t xml:space="preserve">Every 6 hours</w:t>
            </w:r>
          </w:p>
        </w:tc>
        <w:tc>
          <w:tcPr>
            <w:tcW w:type="dxa" w:w="3200"/>
            <w:tcBorders>
              <w:top w:val="single" w:color="D9D3CB" w:sz="1"/>
              <w:left w:val="single" w:color="D9D3CB" w:sz="1"/>
              <w:bottom w:val="single" w:color="D9D3CB" w:sz="1"/>
              <w:right w:val="single" w:color="D9D3CB" w:sz="1"/>
            </w:tcBorders>
            <w:shd w:fill="FAFAF8" w:val="clear"/>
            <w:tcMar>
              <w:top w:type="dxa" w:w="70"/>
              <w:left w:type="dxa" w:w="120"/>
              <w:bottom w:type="dxa" w:w="70"/>
              <w:right w:type="dxa" w:w="120"/>
            </w:tcMar>
          </w:tcPr>
          <w:p>
            <w:pPr>
              <w:spacing w:before="0" w:after="0"/>
            </w:pPr>
            <w:r>
              <w:rPr>
                <w:rFonts w:ascii="Arial" w:cs="Arial" w:eastAsia="Arial" w:hAnsi="Arial"/>
                <w:b w:val="false"/>
                <w:bCs w:val="false"/>
                <w:color w:val="2D2D2D"/>
                <w:sz w:val="17"/>
                <w:szCs w:val="17"/>
              </w:rPr>
              <w:t xml:space="preserve">Real-time with 10-min caching</w:t>
            </w:r>
          </w:p>
        </w:tc>
      </w:tr>
      <w:tr>
        <w:tc>
          <w:tcPr>
            <w:tcW w:type="dxa" w:w="2800"/>
            <w:tcBorders>
              <w:top w:val="single" w:color="D9D3CB" w:sz="1"/>
              <w:left w:val="single" w:color="D9D3CB" w:sz="1"/>
              <w:bottom w:val="single" w:color="D9D3CB" w:sz="1"/>
              <w:right w:val="single" w:color="D9D3CB" w:sz="1"/>
            </w:tcBorders>
            <w:shd w:fill="FFFFFF" w:val="clear"/>
            <w:tcMar>
              <w:top w:type="dxa" w:w="70"/>
              <w:left w:type="dxa" w:w="120"/>
              <w:bottom w:type="dxa" w:w="70"/>
              <w:right w:type="dxa" w:w="120"/>
            </w:tcMar>
          </w:tcPr>
          <w:p>
            <w:pPr>
              <w:spacing w:before="0" w:after="0"/>
            </w:pPr>
            <w:r>
              <w:rPr>
                <w:rFonts w:ascii="Arial" w:cs="Arial" w:eastAsia="Arial" w:hAnsi="Arial"/>
                <w:b/>
                <w:bCs/>
                <w:color w:val="1A1A1A"/>
                <w:sz w:val="17"/>
                <w:szCs w:val="17"/>
              </w:rPr>
              <w:t xml:space="preserve">Data sources</w:t>
            </w:r>
          </w:p>
        </w:tc>
        <w:tc>
          <w:tcPr>
            <w:tcW w:type="dxa" w:w="3100"/>
            <w:tcBorders>
              <w:top w:val="single" w:color="D9D3CB" w:sz="1"/>
              <w:left w:val="single" w:color="D9D3CB" w:sz="1"/>
              <w:bottom w:val="single" w:color="D9D3CB" w:sz="1"/>
              <w:right w:val="single" w:color="D9D3C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2D2D2D"/>
                <w:sz w:val="17"/>
                <w:szCs w:val="17"/>
              </w:rPr>
              <w:t xml:space="preserve">GFS or NAM only</w:t>
            </w:r>
          </w:p>
        </w:tc>
        <w:tc>
          <w:tcPr>
            <w:tcW w:type="dxa" w:w="3200"/>
            <w:tcBorders>
              <w:top w:val="single" w:color="D9D3CB" w:sz="1"/>
              <w:left w:val="single" w:color="D9D3CB" w:sz="1"/>
              <w:bottom w:val="single" w:color="D9D3CB" w:sz="1"/>
              <w:right w:val="single" w:color="D9D3C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2D2D2D"/>
                <w:sz w:val="17"/>
                <w:szCs w:val="17"/>
              </w:rPr>
              <w:t xml:space="preserve">AccuWeather + Open-Meteo + CAMS AOD</w:t>
            </w:r>
          </w:p>
        </w:tc>
      </w:tr>
    </w:tbl>
    <w:p>
      <w:pPr>
        <w:spacing w:before="80" w:after="0"/>
      </w:pPr>
    </w:p>
    <w:p>
      <w:pPr>
        <w:keepNext/>
        <w:keepLines/>
        <w:spacing w:before="360" w:after="160"/>
      </w:pPr>
      <w:r>
        <w:rPr>
          <w:rFonts w:ascii="Georgia" w:cs="Georgia" w:eastAsia="Georgia" w:hAnsi="Georgia"/>
          <w:b/>
          <w:bCs/>
          <w:color w:val="1A1A1A"/>
          <w:spacing w:val="80"/>
          <w:sz w:val="24"/>
          <w:szCs w:val="24"/>
        </w:rPr>
        <w:t xml:space="preserve">6. EXPANSION STRATEGY</w:t>
      </w:r>
    </w:p>
    <w:p>
      <w:pPr>
        <w:pBdr>
          <w:bottom w:val="single" w:color="D9D3CB" w:sz="4" w:space="1"/>
        </w:pBdr>
        <w:spacing w:before="200" w:after="200"/>
      </w:pPr>
    </w:p>
    <w:p>
      <w:pPr>
        <w:keepLines/>
        <w:spacing w:before="0" w:after="100" w:line="312"/>
      </w:pPr>
      <w:r>
        <w:rPr>
          <w:rFonts w:ascii="Arial" w:cs="Arial" w:eastAsia="Arial" w:hAnsi="Arial"/>
          <w:color w:val="2D2D2D"/>
          <w:sz w:val="21"/>
          <w:szCs w:val="21"/>
        </w:rPr>
        <w:t xml:space="preserve">Seaside Beacon’s expansion follows a deliberate three-phase roadmap designed to maintain prediction quality while growing reach.</w:t>
      </w:r>
    </w:p>
    <w:p>
      <w:pPr>
        <w:keepNext/>
        <w:keepLines/>
        <w:spacing w:before="280" w:after="120"/>
      </w:pPr>
      <w:r>
        <w:rPr>
          <w:rFonts w:ascii="Georgia" w:cs="Georgia" w:eastAsia="Georgia" w:hAnsi="Georgia"/>
          <w:i/>
          <w:iCs/>
          <w:color w:val="B8632E"/>
          <w:sz w:val="22"/>
          <w:szCs w:val="22"/>
        </w:rPr>
        <w:t xml:space="preserve">Phase 0: Prove Accuracy (Current — Q1 2026)</w:t>
      </w:r>
    </w:p>
    <w:p>
      <w:pPr>
        <w:pStyle w:val="ListParagraph"/>
        <w:keepLines/>
        <w:numPr>
          <w:ilvl w:val="0"/>
          <w:numId w:val="3"/>
        </w:numPr>
      </w:pPr>
      <w:r>
        <w:rPr>
          <w:rFonts w:ascii="Arial" w:cs="Arial" w:eastAsia="Arial" w:hAnsi="Arial"/>
          <w:color w:val="2D2D2D"/>
          <w:sz w:val="21"/>
          <w:szCs w:val="21"/>
        </w:rPr>
        <w:t xml:space="preserve">Four Chennai beaches: Marina, Elliot’s, Covelong, Thiruvanmiyur</w:t>
      </w:r>
    </w:p>
    <w:p>
      <w:pPr>
        <w:pStyle w:val="ListParagraph"/>
        <w:keepLines/>
        <w:numPr>
          <w:ilvl w:val="0"/>
          <w:numId w:val="3"/>
        </w:numPr>
      </w:pPr>
      <w:r>
        <w:rPr>
          <w:rFonts w:ascii="Arial" w:cs="Arial" w:eastAsia="Arial" w:hAnsi="Arial"/>
          <w:color w:val="2D2D2D"/>
          <w:sz w:val="21"/>
          <w:szCs w:val="21"/>
        </w:rPr>
        <w:t xml:space="preserve">Build a community of regular sunrise-goers and photographers who validate predictions</w:t>
      </w:r>
    </w:p>
    <w:p>
      <w:pPr>
        <w:pStyle w:val="ListParagraph"/>
        <w:keepLines/>
        <w:numPr>
          <w:ilvl w:val="0"/>
          <w:numId w:val="3"/>
        </w:numPr>
      </w:pPr>
      <w:r>
        <w:rPr>
          <w:rFonts w:ascii="Arial" w:cs="Arial" w:eastAsia="Arial" w:hAnsi="Arial"/>
          <w:color w:val="2D2D2D"/>
          <w:sz w:val="21"/>
          <w:szCs w:val="21"/>
        </w:rPr>
        <w:t xml:space="preserve">Collect community feedback data to continuously refine the scoring algorithm</w:t>
      </w:r>
    </w:p>
    <w:p>
      <w:pPr>
        <w:pStyle w:val="ListParagraph"/>
        <w:keepLines/>
        <w:numPr>
          <w:ilvl w:val="0"/>
          <w:numId w:val="3"/>
        </w:numPr>
      </w:pPr>
      <w:r>
        <w:rPr>
          <w:rFonts w:ascii="Arial" w:cs="Arial" w:eastAsia="Arial" w:hAnsi="Arial"/>
          <w:color w:val="2D2D2D"/>
          <w:sz w:val="21"/>
          <w:szCs w:val="21"/>
        </w:rPr>
        <w:t xml:space="preserve">Establish Seaside Beacon as the trusted name for Chennai sunrise forecasts</w:t>
      </w:r>
    </w:p>
    <w:p>
      <w:pPr>
        <w:pStyle w:val="ListParagraph"/>
        <w:keepLines/>
        <w:numPr>
          <w:ilvl w:val="0"/>
          <w:numId w:val="3"/>
        </w:numPr>
      </w:pPr>
      <w:r>
        <w:rPr>
          <w:rFonts w:ascii="Arial" w:cs="Arial" w:eastAsia="Arial" w:hAnsi="Arial"/>
          <w:color w:val="2D2D2D"/>
          <w:sz w:val="21"/>
          <w:szCs w:val="21"/>
        </w:rPr>
        <w:t xml:space="preserve">Maintain monthly operational cost at approximately INR 275</w:t>
      </w:r>
    </w:p>
    <w:p>
      <w:pPr>
        <w:keepNext/>
        <w:keepLines/>
        <w:spacing w:before="280" w:after="120"/>
      </w:pPr>
      <w:r>
        <w:rPr>
          <w:rFonts w:ascii="Georgia" w:cs="Georgia" w:eastAsia="Georgia" w:hAnsi="Georgia"/>
          <w:i/>
          <w:iCs/>
          <w:color w:val="B8632E"/>
          <w:sz w:val="22"/>
          <w:szCs w:val="22"/>
        </w:rPr>
        <w:t xml:space="preserve">Phase 1: Marketing Push (Q2 2026)</w:t>
      </w:r>
    </w:p>
    <w:p>
      <w:pPr>
        <w:pStyle w:val="ListParagraph"/>
        <w:keepLines/>
        <w:numPr>
          <w:ilvl w:val="0"/>
          <w:numId w:val="4"/>
        </w:numPr>
      </w:pPr>
      <w:r>
        <w:rPr>
          <w:rFonts w:ascii="Arial" w:cs="Arial" w:eastAsia="Arial" w:hAnsi="Arial"/>
          <w:color w:val="2D2D2D"/>
          <w:sz w:val="21"/>
          <w:szCs w:val="21"/>
        </w:rPr>
        <w:t xml:space="preserve">Instagram content strategy targeting Chennai photographers and travel enthusiasts</w:t>
      </w:r>
    </w:p>
    <w:p>
      <w:pPr>
        <w:pStyle w:val="ListParagraph"/>
        <w:keepLines/>
        <w:numPr>
          <w:ilvl w:val="0"/>
          <w:numId w:val="4"/>
        </w:numPr>
      </w:pPr>
      <w:r>
        <w:rPr>
          <w:rFonts w:ascii="Arial" w:cs="Arial" w:eastAsia="Arial" w:hAnsi="Arial"/>
          <w:color w:val="2D2D2D"/>
          <w:sz w:val="21"/>
          <w:szCs w:val="21"/>
        </w:rPr>
        <w:t xml:space="preserve">Reddit presence in photography and India travel communities</w:t>
      </w:r>
    </w:p>
    <w:p>
      <w:pPr>
        <w:pStyle w:val="ListParagraph"/>
        <w:keepLines/>
        <w:numPr>
          <w:ilvl w:val="0"/>
          <w:numId w:val="4"/>
        </w:numPr>
      </w:pPr>
      <w:r>
        <w:rPr>
          <w:rFonts w:ascii="Arial" w:cs="Arial" w:eastAsia="Arial" w:hAnsi="Arial"/>
          <w:color w:val="2D2D2D"/>
          <w:sz w:val="21"/>
          <w:szCs w:val="21"/>
        </w:rPr>
        <w:t xml:space="preserve">SEO optimisation for “Chennai sunrise,” “best beach sunrise Chennai,” and related search terms</w:t>
      </w:r>
    </w:p>
    <w:p>
      <w:pPr>
        <w:pStyle w:val="ListParagraph"/>
        <w:keepLines/>
        <w:numPr>
          <w:ilvl w:val="0"/>
          <w:numId w:val="4"/>
        </w:numPr>
      </w:pPr>
      <w:r>
        <w:rPr>
          <w:rFonts w:ascii="Arial" w:cs="Arial" w:eastAsia="Arial" w:hAnsi="Arial"/>
          <w:color w:val="2D2D2D"/>
          <w:sz w:val="21"/>
          <w:szCs w:val="21"/>
        </w:rPr>
        <w:t xml:space="preserve">Grow subscriber base within Brevo’s 300/day free tier email limit</w:t>
      </w:r>
    </w:p>
    <w:p>
      <w:pPr>
        <w:keepNext/>
        <w:keepLines/>
        <w:spacing w:before="280" w:after="120"/>
      </w:pPr>
      <w:r>
        <w:rPr>
          <w:rFonts w:ascii="Georgia" w:cs="Georgia" w:eastAsia="Georgia" w:hAnsi="Georgia"/>
          <w:i/>
          <w:iCs/>
          <w:color w:val="B8632E"/>
          <w:sz w:val="22"/>
          <w:szCs w:val="22"/>
        </w:rPr>
        <w:t xml:space="preserve">Phase 2: Coastal Expansion (Q3 2026)</w:t>
      </w:r>
    </w:p>
    <w:p>
      <w:pPr>
        <w:pStyle w:val="ListParagraph"/>
        <w:keepNext/>
        <w:keepLines/>
        <w:numPr>
          <w:ilvl w:val="0"/>
          <w:numId w:val="5"/>
        </w:numPr>
      </w:pPr>
      <w:r>
        <w:rPr>
          <w:rFonts w:ascii="Arial" w:cs="Arial" w:eastAsia="Arial" w:hAnsi="Arial"/>
          <w:b/>
          <w:bCs/>
          <w:color w:val="1A1A1A"/>
          <w:sz w:val="21"/>
          <w:szCs w:val="21"/>
        </w:rPr>
        <w:t xml:space="preserve">Pondicherry — </w:t>
      </w:r>
      <w:r>
        <w:rPr>
          <w:rFonts w:ascii="Arial" w:cs="Arial" w:eastAsia="Arial" w:hAnsi="Arial"/>
          <w:color w:val="2D2D2D"/>
          <w:sz w:val="21"/>
          <w:szCs w:val="21"/>
        </w:rPr>
        <w:t xml:space="preserve">160km south of Chennai. Distinct atmospheric profile due to French Quarter’s coastal architecture and different humidity baselines. Algorithm weights will be recalibrated for this microclimate.</w:t>
      </w:r>
    </w:p>
    <w:p>
      <w:pPr>
        <w:pStyle w:val="ListParagraph"/>
        <w:keepNext/>
        <w:keepLines/>
        <w:numPr>
          <w:ilvl w:val="0"/>
          <w:numId w:val="5"/>
        </w:numPr>
      </w:pPr>
      <w:r>
        <w:rPr>
          <w:rFonts w:ascii="Arial" w:cs="Arial" w:eastAsia="Arial" w:hAnsi="Arial"/>
          <w:b/>
          <w:bCs/>
          <w:color w:val="1A1A1A"/>
          <w:sz w:val="21"/>
          <w:szCs w:val="21"/>
        </w:rPr>
        <w:t xml:space="preserve">Visakhapatnam (Vizag) — </w:t>
      </w:r>
      <w:r>
        <w:rPr>
          <w:rFonts w:ascii="Arial" w:cs="Arial" w:eastAsia="Arial" w:hAnsi="Arial"/>
          <w:color w:val="2D2D2D"/>
          <w:sz w:val="21"/>
          <w:szCs w:val="21"/>
        </w:rPr>
        <w:t xml:space="preserve">Andhra Pradesh coastline with significantly different aerosol patterns due to the Visakhapatnam Steel Plant and industrial corridor. AOD thresholds and synergy triggers will need complete recalibration.</w:t>
      </w:r>
    </w:p>
    <w:p>
      <w:pPr>
        <w:pStyle w:val="ListParagraph"/>
        <w:keepLines/>
        <w:numPr>
          <w:ilvl w:val="0"/>
          <w:numId w:val="5"/>
        </w:numPr>
      </w:pPr>
      <w:r>
        <w:rPr>
          <w:rFonts w:ascii="Arial" w:cs="Arial" w:eastAsia="Arial" w:hAnsi="Arial"/>
          <w:b/>
          <w:bCs/>
          <w:color w:val="1A1A1A"/>
          <w:sz w:val="21"/>
          <w:szCs w:val="21"/>
        </w:rPr>
        <w:t xml:space="preserve">Puri — </w:t>
      </w:r>
      <w:r>
        <w:rPr>
          <w:rFonts w:ascii="Arial" w:cs="Arial" w:eastAsia="Arial" w:hAnsi="Arial"/>
          <w:color w:val="2D2D2D"/>
          <w:sz w:val="21"/>
          <w:szCs w:val="21"/>
        </w:rPr>
        <w:t xml:space="preserve">Odisha’s coastline with unique humidity baselines influenced by the Chilika Lake microclimate. Cloud layer patterns differ substantially from Chennai due to proximity to the Mahanadi river delta.</w:t>
      </w:r>
    </w:p>
    <w:p>
      <w:pPr>
        <w:spacing w:before="120" w:after="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Borders>
              <w:top w:val="single" w:color="B8632E" w:sz="1"/>
              <w:left w:val="single" w:color="B8632E" w:sz="12"/>
              <w:bottom w:val="single" w:color="B8632E" w:sz="1"/>
              <w:right w:val="single" w:color="B8632E" w:sz="1"/>
            </w:tcBorders>
            <w:shd w:fill="FBF7F3" w:val="clear"/>
            <w:tcMar>
              <w:top w:type="dxa" w:w="160"/>
              <w:left w:type="dxa" w:w="240"/>
              <w:bottom w:type="dxa" w:w="160"/>
              <w:right w:type="dxa" w:w="240"/>
            </w:tcMar>
          </w:tcPr>
          <w:p>
            <w:pPr>
              <w:spacing w:before="0" w:after="80"/>
            </w:pPr>
            <w:r>
              <w:rPr>
                <w:rFonts w:ascii="Arial" w:cs="Arial" w:eastAsia="Arial" w:hAnsi="Arial"/>
                <w:b/>
                <w:bCs/>
                <w:color w:val="B8632E"/>
                <w:spacing w:val="60"/>
                <w:sz w:val="18"/>
                <w:szCs w:val="18"/>
              </w:rPr>
              <w:t xml:space="preserve">THE EXPANSION PRINCIPLE</w:t>
            </w:r>
          </w:p>
          <w:p>
            <w:pPr>
              <w:spacing w:before="0" w:after="0" w:line="300"/>
            </w:pPr>
            <w:r>
              <w:rPr>
                <w:rFonts w:ascii="Arial" w:cs="Arial" w:eastAsia="Arial" w:hAnsi="Arial"/>
                <w:i/>
                <w:iCs/>
                <w:color w:val="2D2D2D"/>
                <w:sz w:val="20"/>
                <w:szCs w:val="20"/>
              </w:rPr>
              <w:t xml:space="preserve">Each new city receives its own calibration period before launch. We do not simply extend Chennai’s model to new coordinates. Aerosol baselines, humidity norms, cloud layer patterns, and coastal geography are researched and encoded into city-specific algorithm weights. A location launches only when its predictions match real-world conditions consistently.</w:t>
            </w:r>
          </w:p>
        </w:tc>
      </w:tr>
    </w:tbl>
    <w:p>
      <w:pPr>
        <w:keepNext/>
        <w:keepLines/>
        <w:spacing w:before="360" w:after="160"/>
      </w:pPr>
      <w:r>
        <w:rPr>
          <w:rFonts w:ascii="Georgia" w:cs="Georgia" w:eastAsia="Georgia" w:hAnsi="Georgia"/>
          <w:b/>
          <w:bCs/>
          <w:color w:val="1A1A1A"/>
          <w:spacing w:val="80"/>
          <w:sz w:val="24"/>
          <w:szCs w:val="24"/>
        </w:rPr>
        <w:t xml:space="preserve">7. COMPETITIVE ADVANTAGES</w:t>
      </w:r>
    </w:p>
    <w:p>
      <w:pPr>
        <w:pBdr>
          <w:bottom w:val="single" w:color="D9D3CB" w:sz="4" w:space="1"/>
        </w:pBdr>
        <w:spacing w:before="200" w:after="200"/>
      </w:pPr>
    </w:p>
    <w:p>
      <w:pPr>
        <w:keepNext/>
        <w:keepLines/>
        <w:spacing w:before="280" w:after="120"/>
      </w:pPr>
      <w:r>
        <w:rPr>
          <w:rFonts w:ascii="Georgia" w:cs="Georgia" w:eastAsia="Georgia" w:hAnsi="Georgia"/>
          <w:i/>
          <w:iCs/>
          <w:color w:val="B8632E"/>
          <w:sz w:val="22"/>
          <w:szCs w:val="22"/>
        </w:rPr>
        <w:t xml:space="preserve">Why Depth Beats Breadth</w:t>
      </w:r>
    </w:p>
    <w:p>
      <w:pPr>
        <w:keepLines/>
        <w:spacing w:before="0" w:after="100" w:line="312"/>
      </w:pPr>
      <w:r>
        <w:rPr>
          <w:rFonts w:ascii="Arial" w:cs="Arial" w:eastAsia="Arial" w:hAnsi="Arial"/>
          <w:color w:val="2D2D2D"/>
          <w:sz w:val="21"/>
          <w:szCs w:val="21"/>
        </w:rPr>
        <w:t xml:space="preserve">The global competitors’ GPS-based approach has an inherent ceiling: they will never be more accurate than the weather model they consume. Since they apply the same formula everywhere, they are “available everywhere, accurate nowhere.” Seaside Beacon inverts this equation.</w:t>
      </w:r>
    </w:p>
    <w:p>
      <w:pPr>
        <w:pStyle w:val="ListParagraph"/>
        <w:keepNext/>
        <w:keepLines/>
        <w:numPr>
          <w:ilvl w:val="0"/>
          <w:numId w:val="6"/>
        </w:numPr>
      </w:pPr>
      <w:r>
        <w:rPr>
          <w:rFonts w:ascii="Arial" w:cs="Arial" w:eastAsia="Arial" w:hAnsi="Arial"/>
          <w:b/>
          <w:bCs/>
          <w:color w:val="1A1A1A"/>
          <w:sz w:val="21"/>
          <w:szCs w:val="21"/>
        </w:rPr>
        <w:t xml:space="preserve">Accuracy as a moat. </w:t>
      </w:r>
      <w:r>
        <w:rPr>
          <w:rFonts w:ascii="Arial" w:cs="Arial" w:eastAsia="Arial" w:hAnsi="Arial"/>
          <w:color w:val="2D2D2D"/>
          <w:sz w:val="21"/>
          <w:szCs w:val="21"/>
        </w:rPr>
        <w:t xml:space="preserve">When a user checks Seaside Beacon and finds the prediction matches what they actually see at the beach, trust is built. That trust compounds over time and becomes extremely difficult for a generic global app to replicate. A user who has had five accurate predictions from Seaside Beacon will not switch to an app that was wrong twice.</w:t>
      </w:r>
    </w:p>
    <w:p>
      <w:pPr>
        <w:pStyle w:val="ListParagraph"/>
        <w:keepNext/>
        <w:keepLines/>
        <w:numPr>
          <w:ilvl w:val="0"/>
          <w:numId w:val="6"/>
        </w:numPr>
      </w:pPr>
      <w:r>
        <w:rPr>
          <w:rFonts w:ascii="Arial" w:cs="Arial" w:eastAsia="Arial" w:hAnsi="Arial"/>
          <w:b/>
          <w:bCs/>
          <w:color w:val="1A1A1A"/>
          <w:sz w:val="21"/>
          <w:szCs w:val="21"/>
        </w:rPr>
        <w:t xml:space="preserve">Community feedback loop. </w:t>
      </w:r>
      <w:r>
        <w:rPr>
          <w:rFonts w:ascii="Arial" w:cs="Arial" w:eastAsia="Arial" w:hAnsi="Arial"/>
          <w:color w:val="2D2D2D"/>
          <w:sz w:val="21"/>
          <w:szCs w:val="21"/>
        </w:rPr>
        <w:t xml:space="preserve">Our feedback system allows users to rate predictions as “spot-on,” “close,” or “missed.” This data feeds directly back into algorithm refinement. Global apps have no mechanism for this kind of localised calibration.</w:t>
      </w:r>
    </w:p>
    <w:p>
      <w:pPr>
        <w:pStyle w:val="ListParagraph"/>
        <w:keepNext/>
        <w:keepLines/>
        <w:numPr>
          <w:ilvl w:val="0"/>
          <w:numId w:val="6"/>
        </w:numPr>
      </w:pPr>
      <w:r>
        <w:rPr>
          <w:rFonts w:ascii="Arial" w:cs="Arial" w:eastAsia="Arial" w:hAnsi="Arial"/>
          <w:b/>
          <w:bCs/>
          <w:color w:val="1A1A1A"/>
          <w:sz w:val="21"/>
          <w:szCs w:val="21"/>
        </w:rPr>
        <w:t xml:space="preserve">Premium value proposition. </w:t>
      </w:r>
      <w:r>
        <w:rPr>
          <w:rFonts w:ascii="Arial" w:cs="Arial" w:eastAsia="Arial" w:hAnsi="Arial"/>
          <w:color w:val="2D2D2D"/>
          <w:sz w:val="21"/>
          <w:szCs w:val="21"/>
        </w:rPr>
        <w:t xml:space="preserve">Users pay INR 49/month not for GPS coverage, but for personalised beach intelligence: custom alert times, evening previews, AI-powered Telegram assistant, and photography briefs tailored to their preferred beach. This is a fundamentally different value proposition from “unlock more locations.”</w:t>
      </w:r>
    </w:p>
    <w:p>
      <w:pPr>
        <w:pStyle w:val="ListParagraph"/>
        <w:keepNext/>
        <w:keepLines/>
        <w:numPr>
          <w:ilvl w:val="0"/>
          <w:numId w:val="6"/>
        </w:numPr>
      </w:pPr>
      <w:r>
        <w:rPr>
          <w:rFonts w:ascii="Arial" w:cs="Arial" w:eastAsia="Arial" w:hAnsi="Arial"/>
          <w:b/>
          <w:bCs/>
          <w:color w:val="1A1A1A"/>
          <w:sz w:val="21"/>
          <w:szCs w:val="21"/>
        </w:rPr>
        <w:t xml:space="preserve">Operational efficiency. </w:t>
      </w:r>
      <w:r>
        <w:rPr>
          <w:rFonts w:ascii="Arial" w:cs="Arial" w:eastAsia="Arial" w:hAnsi="Arial"/>
          <w:color w:val="2D2D2D"/>
          <w:sz w:val="21"/>
          <w:szCs w:val="21"/>
        </w:rPr>
        <w:t xml:space="preserve">By focusing on a defined geography, Seaside Beacon operates on approximately INR 275/month. The entire platform runs on free tiers (Render, MongoDB Atlas M0, Vercel, Brevo). Global competitors require significantly larger infrastructure budgets, which means they need significantly more users to be sustainable.</w:t>
      </w:r>
    </w:p>
    <w:p>
      <w:pPr>
        <w:pStyle w:val="ListParagraph"/>
        <w:keepLines/>
        <w:numPr>
          <w:ilvl w:val="0"/>
          <w:numId w:val="6"/>
        </w:numPr>
      </w:pPr>
      <w:r>
        <w:rPr>
          <w:rFonts w:ascii="Arial" w:cs="Arial" w:eastAsia="Arial" w:hAnsi="Arial"/>
          <w:b/>
          <w:bCs/>
          <w:color w:val="1A1A1A"/>
          <w:sz w:val="21"/>
          <w:szCs w:val="21"/>
        </w:rPr>
        <w:t xml:space="preserve">Cultural resonance. </w:t>
      </w:r>
      <w:r>
        <w:rPr>
          <w:rFonts w:ascii="Arial" w:cs="Arial" w:eastAsia="Arial" w:hAnsi="Arial"/>
          <w:color w:val="2D2D2D"/>
          <w:sz w:val="21"/>
          <w:szCs w:val="21"/>
        </w:rPr>
        <w:t xml:space="preserve">Seaside Beacon speaks the language of Chennai’s sunrise community. The AI chatbot references ECR, Marina’s lighthouse, Covelong’s surf culture, and Thiruvanmiyur’s tidal pools. This cultural embedding is impossible for a global app to replicate across thousands of locations simultaneously.</w:t>
      </w:r>
    </w:p>
    <w:p>
      <w:pPr>
        <w:keepNext/>
        <w:keepLines/>
        <w:spacing w:before="360" w:after="160"/>
      </w:pPr>
      <w:r>
        <w:rPr>
          <w:rFonts w:ascii="Georgia" w:cs="Georgia" w:eastAsia="Georgia" w:hAnsi="Georgia"/>
          <w:b/>
          <w:bCs/>
          <w:color w:val="1A1A1A"/>
          <w:spacing w:val="80"/>
          <w:sz w:val="24"/>
          <w:szCs w:val="24"/>
        </w:rPr>
        <w:t xml:space="preserve">8. RISK ASSESSMENT</w:t>
      </w:r>
    </w:p>
    <w:p>
      <w:pPr>
        <w:pBdr>
          <w:bottom w:val="single" w:color="D9D3CB" w:sz="4" w:space="1"/>
        </w:pBdr>
        <w:spacing w:before="200" w:after="200"/>
      </w:pPr>
    </w:p>
    <w:p>
      <w:pPr>
        <w:keepLines/>
        <w:spacing w:before="0" w:after="100" w:line="312"/>
      </w:pPr>
      <w:r>
        <w:rPr>
          <w:rFonts w:ascii="Arial" w:cs="Arial" w:eastAsia="Arial" w:hAnsi="Arial"/>
          <w:color w:val="2D2D2D"/>
          <w:sz w:val="21"/>
          <w:szCs w:val="21"/>
        </w:rPr>
        <w:t xml:space="preserve">Every strategic choice carries trade-offs. The following risks are acknowledged and addressed.</w:t>
      </w:r>
    </w:p>
    <w:p>
      <w:pPr>
        <w:spacing w:before="80" w:after="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400"/>
      </w:tblGrid>
      <w:tr>
        <w:tc>
          <w:tcPr>
            <w:tcW w:type="dxa" w:w="2400"/>
            <w:tcBorders>
              <w:top w:val="single" w:color="D9D3CB" w:sz="1"/>
              <w:left w:val="single" w:color="D9D3CB" w:sz="1"/>
              <w:bottom w:val="single" w:color="D9D3CB" w:sz="1"/>
              <w:right w:val="single" w:color="D9D3CB" w:sz="1"/>
            </w:tcBorders>
            <w:shd w:fill="1A1A1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Risk</w:t>
            </w:r>
          </w:p>
        </w:tc>
        <w:tc>
          <w:tcPr>
            <w:tcW w:type="dxa" w:w="3300"/>
            <w:tcBorders>
              <w:top w:val="single" w:color="D9D3CB" w:sz="1"/>
              <w:left w:val="single" w:color="D9D3CB" w:sz="1"/>
              <w:bottom w:val="single" w:color="D9D3CB" w:sz="1"/>
              <w:right w:val="single" w:color="D9D3CB" w:sz="1"/>
            </w:tcBorders>
            <w:shd w:fill="1A1A1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Impact</w:t>
            </w:r>
          </w:p>
        </w:tc>
        <w:tc>
          <w:tcPr>
            <w:tcW w:type="dxa" w:w="3400"/>
            <w:tcBorders>
              <w:top w:val="single" w:color="D9D3CB" w:sz="1"/>
              <w:left w:val="single" w:color="D9D3CB" w:sz="1"/>
              <w:bottom w:val="single" w:color="D9D3CB" w:sz="1"/>
              <w:right w:val="single" w:color="D9D3CB" w:sz="1"/>
            </w:tcBorders>
            <w:shd w:fill="1A1A1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Mitigation</w:t>
            </w:r>
          </w:p>
        </w:tc>
      </w:tr>
      <w:tr>
        <w:tc>
          <w:tcPr>
            <w:tcW w:type="dxa" w:w="2400"/>
            <w:tcBorders>
              <w:top w:val="single" w:color="D9D3CB" w:sz="1"/>
              <w:left w:val="single" w:color="D9D3CB" w:sz="1"/>
              <w:bottom w:val="single" w:color="D9D3CB" w:sz="1"/>
              <w:right w:val="single" w:color="D9D3CB" w:sz="1"/>
            </w:tcBorders>
            <w:shd w:fill="FAFAF8" w:val="clear"/>
            <w:tcMar>
              <w:top w:type="dxa" w:w="80"/>
              <w:left w:type="dxa" w:w="120"/>
              <w:bottom w:type="dxa" w:w="80"/>
              <w:right w:type="dxa" w:w="120"/>
            </w:tcMar>
          </w:tcPr>
          <w:p>
            <w:pPr>
              <w:keepLines/>
              <w:spacing w:before="0" w:after="0" w:line="280"/>
            </w:pPr>
            <w:r>
              <w:rPr>
                <w:rFonts w:ascii="Arial" w:cs="Arial" w:eastAsia="Arial" w:hAnsi="Arial"/>
                <w:b/>
                <w:bCs/>
                <w:color w:val="1A1A1A"/>
                <w:sz w:val="17"/>
                <w:szCs w:val="17"/>
              </w:rPr>
              <w:t xml:space="preserve">Small addressable market</w:t>
            </w:r>
          </w:p>
        </w:tc>
        <w:tc>
          <w:tcPr>
            <w:tcW w:type="dxa" w:w="3300"/>
            <w:tcBorders>
              <w:top w:val="single" w:color="D9D3CB" w:sz="1"/>
              <w:left w:val="single" w:color="D9D3CB" w:sz="1"/>
              <w:bottom w:val="single" w:color="D9D3CB" w:sz="1"/>
              <w:right w:val="single" w:color="D9D3CB" w:sz="1"/>
            </w:tcBorders>
            <w:shd w:fill="FAFAF8" w:val="clear"/>
            <w:tcMar>
              <w:top w:type="dxa" w:w="80"/>
              <w:left w:type="dxa" w:w="120"/>
              <w:bottom w:type="dxa" w:w="80"/>
              <w:right w:type="dxa" w:w="120"/>
            </w:tcMar>
          </w:tcPr>
          <w:p>
            <w:pPr>
              <w:keepLines/>
              <w:spacing w:before="0" w:after="0" w:line="280"/>
            </w:pPr>
            <w:r>
              <w:rPr>
                <w:rFonts w:ascii="Arial" w:cs="Arial" w:eastAsia="Arial" w:hAnsi="Arial"/>
                <w:b w:val="false"/>
                <w:bCs w:val="false"/>
                <w:color w:val="2D2D2D"/>
                <w:sz w:val="17"/>
                <w:szCs w:val="17"/>
              </w:rPr>
              <w:t xml:space="preserve">Revenue limited to Chennai users initially</w:t>
            </w:r>
          </w:p>
        </w:tc>
        <w:tc>
          <w:tcPr>
            <w:tcW w:type="dxa" w:w="3400"/>
            <w:tcBorders>
              <w:top w:val="single" w:color="D9D3CB" w:sz="1"/>
              <w:left w:val="single" w:color="D9D3CB" w:sz="1"/>
              <w:bottom w:val="single" w:color="D9D3CB" w:sz="1"/>
              <w:right w:val="single" w:color="D9D3CB" w:sz="1"/>
            </w:tcBorders>
            <w:shd w:fill="FAFAF8" w:val="clear"/>
            <w:tcMar>
              <w:top w:type="dxa" w:w="80"/>
              <w:left w:type="dxa" w:w="120"/>
              <w:bottom w:type="dxa" w:w="80"/>
              <w:right w:type="dxa" w:w="120"/>
            </w:tcMar>
          </w:tcPr>
          <w:p>
            <w:pPr>
              <w:keepLines/>
              <w:spacing w:before="0" w:after="0" w:line="280"/>
            </w:pPr>
            <w:r>
              <w:rPr>
                <w:rFonts w:ascii="Arial" w:cs="Arial" w:eastAsia="Arial" w:hAnsi="Arial"/>
                <w:b w:val="false"/>
                <w:bCs w:val="false"/>
                <w:color w:val="2D2D2D"/>
                <w:sz w:val="17"/>
                <w:szCs w:val="17"/>
              </w:rPr>
              <w:t xml:space="preserve">Phase 2 expansion adds 3 coastal cities; each city multiplies the addressable market</w:t>
            </w:r>
          </w:p>
        </w:tc>
      </w:tr>
      <w:tr>
        <w:tc>
          <w:tcPr>
            <w:tcW w:type="dxa" w:w="2400"/>
            <w:tcBorders>
              <w:top w:val="single" w:color="D9D3CB" w:sz="1"/>
              <w:left w:val="single" w:color="D9D3CB" w:sz="1"/>
              <w:bottom w:val="single" w:color="D9D3CB" w:sz="1"/>
              <w:right w:val="single" w:color="D9D3CB" w:sz="1"/>
            </w:tcBorders>
            <w:shd w:fill="FFFFFF" w:val="clear"/>
            <w:tcMar>
              <w:top w:type="dxa" w:w="80"/>
              <w:left w:type="dxa" w:w="120"/>
              <w:bottom w:type="dxa" w:w="80"/>
              <w:right w:type="dxa" w:w="120"/>
            </w:tcMar>
          </w:tcPr>
          <w:p>
            <w:pPr>
              <w:keepLines/>
              <w:spacing w:before="0" w:after="0" w:line="280"/>
            </w:pPr>
            <w:r>
              <w:rPr>
                <w:rFonts w:ascii="Arial" w:cs="Arial" w:eastAsia="Arial" w:hAnsi="Arial"/>
                <w:b/>
                <w:bCs/>
                <w:color w:val="1A1A1A"/>
                <w:sz w:val="17"/>
                <w:szCs w:val="17"/>
              </w:rPr>
              <w:t xml:space="preserve">Competitor localises for India</w:t>
            </w:r>
          </w:p>
        </w:tc>
        <w:tc>
          <w:tcPr>
            <w:tcW w:type="dxa" w:w="3300"/>
            <w:tcBorders>
              <w:top w:val="single" w:color="D9D3CB" w:sz="1"/>
              <w:left w:val="single" w:color="D9D3CB" w:sz="1"/>
              <w:bottom w:val="single" w:color="D9D3CB" w:sz="1"/>
              <w:right w:val="single" w:color="D9D3CB" w:sz="1"/>
            </w:tcBorders>
            <w:shd w:fill="FFFFFF" w:val="clear"/>
            <w:tcMar>
              <w:top w:type="dxa" w:w="80"/>
              <w:left w:type="dxa" w:w="120"/>
              <w:bottom w:type="dxa" w:w="80"/>
              <w:right w:type="dxa" w:w="120"/>
            </w:tcMar>
          </w:tcPr>
          <w:p>
            <w:pPr>
              <w:keepLines/>
              <w:spacing w:before="0" w:after="0" w:line="280"/>
            </w:pPr>
            <w:r>
              <w:rPr>
                <w:rFonts w:ascii="Arial" w:cs="Arial" w:eastAsia="Arial" w:hAnsi="Arial"/>
                <w:b w:val="false"/>
                <w:bCs w:val="false"/>
                <w:color w:val="2D2D2D"/>
                <w:sz w:val="17"/>
                <w:szCs w:val="17"/>
              </w:rPr>
              <w:t xml:space="preserve">A global app could add India-specific tuning</w:t>
            </w:r>
          </w:p>
        </w:tc>
        <w:tc>
          <w:tcPr>
            <w:tcW w:type="dxa" w:w="3400"/>
            <w:tcBorders>
              <w:top w:val="single" w:color="D9D3CB" w:sz="1"/>
              <w:left w:val="single" w:color="D9D3CB" w:sz="1"/>
              <w:bottom w:val="single" w:color="D9D3CB" w:sz="1"/>
              <w:right w:val="single" w:color="D9D3CB" w:sz="1"/>
            </w:tcBorders>
            <w:shd w:fill="FFFFFF" w:val="clear"/>
            <w:tcMar>
              <w:top w:type="dxa" w:w="80"/>
              <w:left w:type="dxa" w:w="120"/>
              <w:bottom w:type="dxa" w:w="80"/>
              <w:right w:type="dxa" w:w="120"/>
            </w:tcMar>
          </w:tcPr>
          <w:p>
            <w:pPr>
              <w:keepLines/>
              <w:spacing w:before="0" w:after="0" w:line="280"/>
            </w:pPr>
            <w:r>
              <w:rPr>
                <w:rFonts w:ascii="Arial" w:cs="Arial" w:eastAsia="Arial" w:hAnsi="Arial"/>
                <w:b w:val="false"/>
                <w:bCs w:val="false"/>
                <w:color w:val="2D2D2D"/>
                <w:sz w:val="17"/>
                <w:szCs w:val="17"/>
              </w:rPr>
              <w:t xml:space="preserve">Our head start in local data, community trust, and algorithm calibration would take years to replicate</w:t>
            </w:r>
          </w:p>
        </w:tc>
      </w:tr>
      <w:tr>
        <w:tc>
          <w:tcPr>
            <w:tcW w:type="dxa" w:w="2400"/>
            <w:tcBorders>
              <w:top w:val="single" w:color="D9D3CB" w:sz="1"/>
              <w:left w:val="single" w:color="D9D3CB" w:sz="1"/>
              <w:bottom w:val="single" w:color="D9D3CB" w:sz="1"/>
              <w:right w:val="single" w:color="D9D3CB" w:sz="1"/>
            </w:tcBorders>
            <w:shd w:fill="FAFAF8" w:val="clear"/>
            <w:tcMar>
              <w:top w:type="dxa" w:w="80"/>
              <w:left w:type="dxa" w:w="120"/>
              <w:bottom w:type="dxa" w:w="80"/>
              <w:right w:type="dxa" w:w="120"/>
            </w:tcMar>
          </w:tcPr>
          <w:p>
            <w:pPr>
              <w:keepLines/>
              <w:spacing w:before="0" w:after="0" w:line="280"/>
            </w:pPr>
            <w:r>
              <w:rPr>
                <w:rFonts w:ascii="Arial" w:cs="Arial" w:eastAsia="Arial" w:hAnsi="Arial"/>
                <w:b/>
                <w:bCs/>
                <w:color w:val="1A1A1A"/>
                <w:sz w:val="17"/>
                <w:szCs w:val="17"/>
              </w:rPr>
              <w:t xml:space="preserve">Weather model inaccuracy</w:t>
            </w:r>
          </w:p>
        </w:tc>
        <w:tc>
          <w:tcPr>
            <w:tcW w:type="dxa" w:w="3300"/>
            <w:tcBorders>
              <w:top w:val="single" w:color="D9D3CB" w:sz="1"/>
              <w:left w:val="single" w:color="D9D3CB" w:sz="1"/>
              <w:bottom w:val="single" w:color="D9D3CB" w:sz="1"/>
              <w:right w:val="single" w:color="D9D3CB" w:sz="1"/>
            </w:tcBorders>
            <w:shd w:fill="FAFAF8" w:val="clear"/>
            <w:tcMar>
              <w:top w:type="dxa" w:w="80"/>
              <w:left w:type="dxa" w:w="120"/>
              <w:bottom w:type="dxa" w:w="80"/>
              <w:right w:type="dxa" w:w="120"/>
            </w:tcMar>
          </w:tcPr>
          <w:p>
            <w:pPr>
              <w:keepLines/>
              <w:spacing w:before="0" w:after="0" w:line="280"/>
            </w:pPr>
            <w:r>
              <w:rPr>
                <w:rFonts w:ascii="Arial" w:cs="Arial" w:eastAsia="Arial" w:hAnsi="Arial"/>
                <w:b w:val="false"/>
                <w:bCs w:val="false"/>
                <w:color w:val="2D2D2D"/>
                <w:sz w:val="17"/>
                <w:szCs w:val="17"/>
              </w:rPr>
              <w:t xml:space="preserve">GFS/Open-Meteo errors propagate to our predictions</w:t>
            </w:r>
          </w:p>
        </w:tc>
        <w:tc>
          <w:tcPr>
            <w:tcW w:type="dxa" w:w="3400"/>
            <w:tcBorders>
              <w:top w:val="single" w:color="D9D3CB" w:sz="1"/>
              <w:left w:val="single" w:color="D9D3CB" w:sz="1"/>
              <w:bottom w:val="single" w:color="D9D3CB" w:sz="1"/>
              <w:right w:val="single" w:color="D9D3CB" w:sz="1"/>
            </w:tcBorders>
            <w:shd w:fill="FAFAF8" w:val="clear"/>
            <w:tcMar>
              <w:top w:type="dxa" w:w="80"/>
              <w:left w:type="dxa" w:w="120"/>
              <w:bottom w:type="dxa" w:w="80"/>
              <w:right w:type="dxa" w:w="120"/>
            </w:tcMar>
          </w:tcPr>
          <w:p>
            <w:pPr>
              <w:keepLines/>
              <w:spacing w:before="0" w:after="0" w:line="280"/>
            </w:pPr>
            <w:r>
              <w:rPr>
                <w:rFonts w:ascii="Arial" w:cs="Arial" w:eastAsia="Arial" w:hAnsi="Arial"/>
                <w:b w:val="false"/>
                <w:bCs w:val="false"/>
                <w:color w:val="2D2D2D"/>
                <w:sz w:val="17"/>
                <w:szCs w:val="17"/>
              </w:rPr>
              <w:t xml:space="preserve">Multi-source data (AccuWeather + Open-Meteo + CAMS) provides redundancy; community feedback catches anomalies</w:t>
            </w:r>
          </w:p>
        </w:tc>
      </w:tr>
      <w:tr>
        <w:tc>
          <w:tcPr>
            <w:tcW w:type="dxa" w:w="2400"/>
            <w:tcBorders>
              <w:top w:val="single" w:color="D9D3CB" w:sz="1"/>
              <w:left w:val="single" w:color="D9D3CB" w:sz="1"/>
              <w:bottom w:val="single" w:color="D9D3CB" w:sz="1"/>
              <w:right w:val="single" w:color="D9D3CB" w:sz="1"/>
            </w:tcBorders>
            <w:shd w:fill="FFFFFF" w:val="clear"/>
            <w:tcMar>
              <w:top w:type="dxa" w:w="80"/>
              <w:left w:type="dxa" w:w="120"/>
              <w:bottom w:type="dxa" w:w="80"/>
              <w:right w:type="dxa" w:w="120"/>
            </w:tcMar>
          </w:tcPr>
          <w:p>
            <w:pPr>
              <w:keepLines/>
              <w:spacing w:before="0" w:after="0" w:line="280"/>
            </w:pPr>
            <w:r>
              <w:rPr>
                <w:rFonts w:ascii="Arial" w:cs="Arial" w:eastAsia="Arial" w:hAnsi="Arial"/>
                <w:b/>
                <w:bCs/>
                <w:color w:val="1A1A1A"/>
                <w:sz w:val="17"/>
                <w:szCs w:val="17"/>
              </w:rPr>
              <w:t xml:space="preserve">Free tier limitations</w:t>
            </w:r>
          </w:p>
        </w:tc>
        <w:tc>
          <w:tcPr>
            <w:tcW w:type="dxa" w:w="3300"/>
            <w:tcBorders>
              <w:top w:val="single" w:color="D9D3CB" w:sz="1"/>
              <w:left w:val="single" w:color="D9D3CB" w:sz="1"/>
              <w:bottom w:val="single" w:color="D9D3CB" w:sz="1"/>
              <w:right w:val="single" w:color="D9D3CB" w:sz="1"/>
            </w:tcBorders>
            <w:shd w:fill="FFFFFF" w:val="clear"/>
            <w:tcMar>
              <w:top w:type="dxa" w:w="80"/>
              <w:left w:type="dxa" w:w="120"/>
              <w:bottom w:type="dxa" w:w="80"/>
              <w:right w:type="dxa" w:w="120"/>
            </w:tcMar>
          </w:tcPr>
          <w:p>
            <w:pPr>
              <w:keepLines/>
              <w:spacing w:before="0" w:after="0" w:line="280"/>
            </w:pPr>
            <w:r>
              <w:rPr>
                <w:rFonts w:ascii="Arial" w:cs="Arial" w:eastAsia="Arial" w:hAnsi="Arial"/>
                <w:b w:val="false"/>
                <w:bCs w:val="false"/>
                <w:color w:val="2D2D2D"/>
                <w:sz w:val="17"/>
                <w:szCs w:val="17"/>
              </w:rPr>
              <w:t xml:space="preserve">Service interruptions from API rate limits</w:t>
            </w:r>
          </w:p>
        </w:tc>
        <w:tc>
          <w:tcPr>
            <w:tcW w:type="dxa" w:w="3400"/>
            <w:tcBorders>
              <w:top w:val="single" w:color="D9D3CB" w:sz="1"/>
              <w:left w:val="single" w:color="D9D3CB" w:sz="1"/>
              <w:bottom w:val="single" w:color="D9D3CB" w:sz="1"/>
              <w:right w:val="single" w:color="D9D3CB" w:sz="1"/>
            </w:tcBorders>
            <w:shd w:fill="FFFFFF" w:val="clear"/>
            <w:tcMar>
              <w:top w:type="dxa" w:w="80"/>
              <w:left w:type="dxa" w:w="120"/>
              <w:bottom w:type="dxa" w:w="80"/>
              <w:right w:type="dxa" w:w="120"/>
            </w:tcMar>
          </w:tcPr>
          <w:p>
            <w:pPr>
              <w:keepLines/>
              <w:spacing w:before="0" w:after="0" w:line="280"/>
            </w:pPr>
            <w:r>
              <w:rPr>
                <w:rFonts w:ascii="Arial" w:cs="Arial" w:eastAsia="Arial" w:hAnsi="Arial"/>
                <w:b w:val="false"/>
                <w:bCs w:val="false"/>
                <w:color w:val="2D2D2D"/>
                <w:sz w:val="17"/>
                <w:szCs w:val="17"/>
              </w:rPr>
              <w:t xml:space="preserve">Three-tier AI failover and aggressive caching (10-min predictions, 30-min weather) ensure reliability</w:t>
            </w:r>
          </w:p>
        </w:tc>
      </w:tr>
    </w:tbl>
    <w:p>
      <w:pPr>
        <w:keepNext/>
        <w:keepLines/>
        <w:spacing w:before="360" w:after="160"/>
      </w:pPr>
      <w:r>
        <w:rPr>
          <w:rFonts w:ascii="Georgia" w:cs="Georgia" w:eastAsia="Georgia" w:hAnsi="Georgia"/>
          <w:b/>
          <w:bCs/>
          <w:color w:val="1A1A1A"/>
          <w:spacing w:val="80"/>
          <w:sz w:val="24"/>
          <w:szCs w:val="24"/>
        </w:rPr>
        <w:t xml:space="preserve">9. CONCLUSION</w:t>
      </w:r>
    </w:p>
    <w:p>
      <w:pPr>
        <w:pBdr>
          <w:bottom w:val="single" w:color="D9D3CB" w:sz="4" w:space="1"/>
        </w:pBdr>
        <w:spacing w:before="200" w:after="200"/>
      </w:pPr>
    </w:p>
    <w:p>
      <w:pPr>
        <w:keepLines/>
        <w:spacing w:before="0" w:after="100" w:line="312"/>
      </w:pPr>
      <w:r>
        <w:rPr>
          <w:rFonts w:ascii="Arial" w:cs="Arial" w:eastAsia="Arial" w:hAnsi="Arial"/>
          <w:color w:val="2D2D2D"/>
          <w:sz w:val="21"/>
          <w:szCs w:val="21"/>
        </w:rPr>
        <w:t xml:space="preserve">The sunrise forecast market presents a clear strategic opening. Every existing competitor has optimised for the same variable: global coverage. In doing so, they have collectively created a market where predictions are broadly available but locally unreliable.</w:t>
      </w:r>
    </w:p>
    <w:p>
      <w:pPr>
        <w:keepLines/>
        <w:spacing w:before="80" w:after="100" w:line="312"/>
      </w:pPr>
      <w:r>
        <w:rPr>
          <w:rFonts w:ascii="Arial" w:cs="Arial" w:eastAsia="Arial" w:hAnsi="Arial"/>
          <w:color w:val="2D2D2D"/>
          <w:sz w:val="21"/>
          <w:szCs w:val="21"/>
        </w:rPr>
        <w:t xml:space="preserve">Seaside Beacon’s approach is to fill the accuracy gap that global coverage cannot address. By investing deeply in Chennai’s specific atmospheric conditions, building a community feedback loop that continuously refines the model, and expanding only when a new city’s calibration meets our accuracy standard, we are building something that scales with quality rather than despite it.</w:t>
      </w:r>
    </w:p>
    <w:p>
      <w:pPr>
        <w:keepLines/>
        <w:spacing w:before="80" w:after="100" w:line="312"/>
      </w:pPr>
      <w:r>
        <w:rPr>
          <w:rFonts w:ascii="Arial" w:cs="Arial" w:eastAsia="Arial" w:hAnsi="Arial"/>
          <w:color w:val="2D2D2D"/>
          <w:sz w:val="21"/>
          <w:szCs w:val="21"/>
        </w:rPr>
        <w:t xml:space="preserve">The competitors are wide but shallow. Seaside Beacon is narrow but deep. In a market where the product’s value is entirely determined by whether its predictions are correct, depth is what people trust, and trust is what people pay for.</w:t>
      </w:r>
    </w:p>
    <w:p>
      <w:pPr>
        <w:spacing w:before="240" w:after="0"/>
      </w:pPr>
    </w:p>
    <w:p>
      <w:pPr>
        <w:pBdr>
          <w:bottom w:val="single" w:color="D9D3CB" w:sz="4" w:space="1"/>
        </w:pBdr>
        <w:spacing w:before="200" w:after="200"/>
      </w:pPr>
    </w:p>
    <w:p>
      <w:pPr>
        <w:spacing w:before="80" w:after="0"/>
      </w:pPr>
    </w:p>
    <w:p>
      <w:pPr>
        <w:spacing w:before="0" w:after="40"/>
        <w:jc w:val="center"/>
      </w:pPr>
      <w:r>
        <w:rPr>
          <w:rFonts w:ascii="Georgia" w:cs="Georgia" w:eastAsia="Georgia" w:hAnsi="Georgia"/>
          <w:i/>
          <w:iCs/>
          <w:color w:val="6B6B6B"/>
          <w:sz w:val="20"/>
          <w:szCs w:val="20"/>
        </w:rPr>
        <w:t xml:space="preserve">End of Report</w:t>
      </w:r>
    </w:p>
    <w:p>
      <w:pPr>
        <w:spacing w:before="0" w:after="0"/>
        <w:jc w:val="center"/>
      </w:pPr>
      <w:r>
        <w:rPr>
          <w:rFonts w:ascii="Arial" w:cs="Arial" w:eastAsia="Arial" w:hAnsi="Arial"/>
          <w:color w:val="B8632E"/>
          <w:sz w:val="18"/>
          <w:szCs w:val="18"/>
        </w:rPr>
        <w:t xml:space="preserve">Seaside Beacon  —  seasidebeacon.com</w:t>
      </w:r>
    </w:p>
    <w:sectPr>
      <w:headerReference w:type="default" r:id="rId6"/>
      <w:footerReference w:type="default" r:id="rId7"/>
      <w:pgSz w:w="12240" w:h="15840" w:orient="portrait"/>
      <w:pgMar w:top="1440" w:right="1580" w:bottom="1260" w:left="15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3CB" w:sz="1" w:space="6"/>
      </w:pBdr>
      <w:spacing w:before="0" w:after="0"/>
      <w:jc w:val="center"/>
    </w:pPr>
    <w:r>
      <w:rPr>
        <w:rFonts w:ascii="Arial" w:cs="Arial" w:eastAsia="Arial" w:hAnsi="Arial"/>
        <w:color w:val="6B6B6B"/>
        <w:sz w:val="15"/>
        <w:szCs w:val="15"/>
      </w:rPr>
      <w:t xml:space="preserve">Confidential  |  Page </w:t>
    </w:r>
    <w:r>
      <w:rPr>
        <w:rFonts w:ascii="Arial" w:cs="Arial" w:eastAsia="Arial" w:hAnsi="Arial"/>
        <w:color w:val="6B6B6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3CB" w:sz="2" w:space="6"/>
      </w:pBdr>
      <w:tabs>
        <w:tab w:val="right" w:pos="9026"/>
      </w:tabs>
      <w:spacing w:after="0"/>
    </w:pPr>
    <w:r>
      <w:rPr>
        <w:rFonts w:ascii="Georgia" w:cs="Georgia" w:eastAsia="Georgia" w:hAnsi="Georgia"/>
        <w:i/>
        <w:iCs/>
        <w:color w:val="6B6B6B"/>
        <w:sz w:val="16"/>
        <w:szCs w:val="16"/>
      </w:rPr>
      <w:t xml:space="preserve">Seaside Beacon</w:t>
    </w:r>
    <w:r>
      <w:rPr>
        <w:rFonts w:ascii="Arial" w:cs="Arial" w:eastAsia="Arial" w:hAnsi="Arial"/>
        <w:color w:val="6B6B6B"/>
        <w:sz w:val="15"/>
        <w:szCs w:val="15"/>
      </w:rPr>
      <w:t xml:space="preserve">	Competitive Strategy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line="300"/>
        <w:ind w:left="620" w:hanging="280"/>
      </w:pPr>
    </w:lvl>
  </w:abstractNum>
  <w:abstractNum w:abstractNumId="3" w15:restartNumberingAfterBreak="0">
    <w:multiLevelType w:val="hybridMultilevel"/>
    <w:lvl w:ilvl="0" w15:tentative="1">
      <w:start w:val="1"/>
      <w:numFmt w:val="bullet"/>
      <w:lvlText w:val="•"/>
      <w:lvlJc w:val="left"/>
      <w:pPr>
        <w:spacing w:before="40" w:after="40" w:line="300"/>
        <w:ind w:left="620" w:hanging="280"/>
      </w:pPr>
    </w:lvl>
  </w:abstractNum>
  <w:abstractNum w:abstractNumId="4" w15:restartNumberingAfterBreak="0">
    <w:multiLevelType w:val="hybridMultilevel"/>
    <w:lvl w:ilvl="0" w15:tentative="1">
      <w:start w:val="1"/>
      <w:numFmt w:val="decimal"/>
      <w:lvlText w:val="%1."/>
      <w:lvlJc w:val="left"/>
      <w:pPr>
        <w:spacing w:before="40" w:after="40" w:line="300"/>
        <w:ind w:left="620" w:hanging="340"/>
      </w:pPr>
    </w:lvl>
  </w:abstractNum>
  <w:abstractNum w:abstractNumId="5" w15:restartNumberingAfterBreak="0">
    <w:multiLevelType w:val="hybridMultilevel"/>
    <w:lvl w:ilvl="0" w15:tentative="1">
      <w:start w:val="1"/>
      <w:numFmt w:val="decimal"/>
      <w:lvlText w:val="%1."/>
      <w:lvlJc w:val="left"/>
      <w:pPr>
        <w:spacing w:before="40" w:after="40" w:line="300"/>
        <w:ind w:left="620" w:hanging="340"/>
      </w:pPr>
    </w:lvl>
  </w:abstractNum>
  <w:abstractNum w:abstractNumId="6" w15:restartNumberingAfterBreak="0">
    <w:multiLevelType w:val="hybridMultilevel"/>
    <w:lvl w:ilvl="0" w15:tentative="1">
      <w:start w:val="1"/>
      <w:numFmt w:val="decimal"/>
      <w:lvlText w:val="%1."/>
      <w:lvlJc w:val="left"/>
      <w:pPr>
        <w:spacing w:before="40" w:after="40" w:line="300"/>
        <w:ind w:left="620" w:hanging="34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2026-02-25T20:05:42.992Z</dcterms:created>
  <dcterms:modified xsi:type="dcterms:W3CDTF">2026-02-25T20:05:42.993Z</dcterms:modified>
</cp:coreProperties>
</file>

<file path=docProps/custom.xml><?xml version="1.0" encoding="utf-8"?>
<Properties xmlns="http://schemas.openxmlformats.org/officeDocument/2006/custom-properties" xmlns:vt="http://schemas.openxmlformats.org/officeDocument/2006/docPropsVTypes"/>
</file>