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</w:t>
      </w:r>
      <w:proofErr w:type="spellStart"/>
      <w:r w:rsidR="006B3E6C">
        <w:rPr>
          <w:rFonts w:ascii="Arial" w:hAnsi="Arial" w:cs="Arial"/>
          <w:b/>
          <w:i/>
          <w:iCs/>
          <w:sz w:val="28"/>
          <w:szCs w:val="28"/>
        </w:rPr>
        <w:t>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proofErr w:type="spellEnd"/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2A71A297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</w:t>
            </w:r>
            <w:proofErr w:type="spellStart"/>
            <w:r>
              <w:rPr>
                <w:rFonts w:ascii="Arial Narrow" w:hAnsi="Arial Narrow"/>
                <w:bCs/>
                <w:lang w:val="es-CO"/>
              </w:rPr>
              <w:t>proyecto_osb</w:t>
            </w:r>
            <w:proofErr w:type="spellEnd"/>
            <w:r>
              <w:rPr>
                <w:rFonts w:ascii="Arial Narrow" w:hAnsi="Arial Narrow"/>
                <w:bCs/>
                <w:lang w:val="es-CO"/>
              </w:rPr>
              <w:t>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</w:t>
            </w:r>
            <w:proofErr w:type="spellStart"/>
            <w:r w:rsidR="00A819D4" w:rsidRPr="00A819D4">
              <w:rPr>
                <w:rFonts w:ascii="Arial Narrow" w:hAnsi="Arial Narrow"/>
                <w:bCs/>
                <w:lang w:val="es-CO"/>
              </w:rPr>
              <w:t>sbar</w:t>
            </w:r>
            <w:proofErr w:type="spellEnd"/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12AC70CD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</w:t>
            </w:r>
            <w:proofErr w:type="spellStart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proyecto_osb</w:t>
            </w:r>
            <w:proofErr w:type="spell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6F8F8D42" w:rsidR="00370CC7" w:rsidRDefault="001E6361" w:rsidP="00256C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MW</w:t>
      </w:r>
      <w:r w:rsidR="00505649">
        <w:rPr>
          <w:rFonts w:ascii="Arial" w:hAnsi="Arial" w:cs="Arial"/>
        </w:rPr>
        <w:t>{num_hrv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 xml:space="preserve">Creación de </w:t>
      </w:r>
      <w:proofErr w:type="spellStart"/>
      <w:r>
        <w:rPr>
          <w:rFonts w:cs="Arial"/>
          <w:sz w:val="20"/>
          <w:lang w:val="es-ES"/>
        </w:rPr>
        <w:t>datasource</w:t>
      </w:r>
      <w:bookmarkEnd w:id="11"/>
      <w:bookmarkEnd w:id="12"/>
      <w:proofErr w:type="spellEnd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 xml:space="preserve">Crear los siguientes Orígenes de datos y DB </w:t>
      </w:r>
      <w:proofErr w:type="spellStart"/>
      <w:r w:rsidRPr="00B764CD">
        <w:rPr>
          <w:rFonts w:ascii="Arial" w:hAnsi="Arial" w:cs="Arial"/>
          <w:lang w:val="es-ES"/>
        </w:rPr>
        <w:t>Adapters</w:t>
      </w:r>
      <w:proofErr w:type="spellEnd"/>
      <w:r w:rsidRPr="00B764CD">
        <w:rPr>
          <w:rFonts w:ascii="Arial" w:hAnsi="Arial" w:cs="Arial"/>
          <w:lang w:val="es-ES"/>
        </w:rPr>
        <w:t>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</w:t>
      </w:r>
      <w:proofErr w:type="spellStart"/>
      <w:r w:rsidR="00046F11">
        <w:rPr>
          <w:rFonts w:ascii="Arial" w:hAnsi="Arial" w:cs="Arial"/>
          <w:b/>
          <w:lang w:val="es-ES"/>
        </w:rPr>
        <w:t>Configuracio</w:t>
      </w:r>
      <w:r w:rsidR="00B73445">
        <w:rPr>
          <w:rFonts w:ascii="Arial" w:hAnsi="Arial" w:cs="Arial"/>
          <w:b/>
          <w:lang w:val="es-ES"/>
        </w:rPr>
        <w:t>n</w:t>
      </w:r>
      <w:proofErr w:type="spellEnd"/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</w:t>
      </w:r>
      <w:proofErr w:type="spellStart"/>
      <w:r w:rsidR="00046F11">
        <w:rPr>
          <w:rFonts w:ascii="Arial" w:hAnsi="Arial" w:cs="Arial"/>
          <w:b/>
          <w:lang w:val="es-ES"/>
        </w:rPr>
        <w:t>Gene</w:t>
      </w:r>
      <w:r w:rsidR="00B73445">
        <w:rPr>
          <w:rFonts w:ascii="Arial" w:hAnsi="Arial" w:cs="Arial"/>
          <w:b/>
          <w:lang w:val="es-ES"/>
        </w:rPr>
        <w:t>ricos</w:t>
      </w:r>
      <w:proofErr w:type="spellEnd"/>
      <w:r w:rsidR="00B73445">
        <w:rPr>
          <w:rFonts w:ascii="Arial" w:hAnsi="Arial" w:cs="Arial"/>
          <w:b/>
          <w:lang w:val="es-ES"/>
        </w:rPr>
        <w:t xml:space="preserve">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4803DCE4" w:rsidR="00C4429D" w:rsidRPr="00FB3E02" w:rsidRDefault="00505649" w:rsidP="00D47339">
      <w:pPr>
        <w:ind w:left="720"/>
        <w:rPr>
          <w:lang w:val="es-ES"/>
        </w:rPr>
      </w:pPr>
      <w:bookmarkStart w:id="15" w:name="_Toc44059487"/>
      <w:r>
        <w:rPr>
          <w:rFonts w:ascii="Arial Narrow" w:hAnsi="Arial Narrow"/>
          <w:bCs/>
          <w:lang w:val="es-CO"/>
        </w:rPr>
        <w:t>{</w:t>
      </w:r>
      <w:proofErr w:type="spellStart"/>
      <w:r w:rsidR="00AD3E5C">
        <w:rPr>
          <w:rFonts w:ascii="Arial Narrow" w:hAnsi="Arial Narrow"/>
          <w:bCs/>
          <w:lang w:val="es-CO"/>
        </w:rPr>
        <w:t>lista_proyectos</w:t>
      </w:r>
      <w:proofErr w:type="spellEnd"/>
      <w:r w:rsidR="00AD3E5C">
        <w:rPr>
          <w:rFonts w:ascii="Arial Narrow" w:hAnsi="Arial Narrow"/>
          <w:bCs/>
          <w:lang w:val="es-CO"/>
        </w:rPr>
        <w:t>}.</w:t>
      </w:r>
      <w:proofErr w:type="spellStart"/>
      <w:r w:rsidR="00C4429D" w:rsidRPr="003B1F98">
        <w:rPr>
          <w:rFonts w:ascii="Arial Narrow" w:hAnsi="Arial Narrow"/>
          <w:bCs/>
          <w:lang w:val="es-ES"/>
        </w:rPr>
        <w:t>sbar</w:t>
      </w:r>
      <w:proofErr w:type="spellEnd"/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 xml:space="preserve">Ajuste de </w:t>
      </w:r>
      <w:proofErr w:type="spellStart"/>
      <w:r>
        <w:rPr>
          <w:lang w:val="es-ES"/>
        </w:rPr>
        <w:t>endpoint</w:t>
      </w:r>
      <w:bookmarkEnd w:id="16"/>
      <w:bookmarkEnd w:id="17"/>
      <w:proofErr w:type="spellEnd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77777777" w:rsidR="001D3A8A" w:rsidRPr="00E517B3" w:rsidRDefault="001218BA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N/A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BCF5C" w14:textId="77777777" w:rsidR="00A35334" w:rsidRDefault="00A35334" w:rsidP="00756AD1">
      <w:r>
        <w:separator/>
      </w:r>
    </w:p>
  </w:endnote>
  <w:endnote w:type="continuationSeparator" w:id="0">
    <w:p w14:paraId="5A68176D" w14:textId="77777777" w:rsidR="00A35334" w:rsidRDefault="00A35334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0E426875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3AAD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7ED5B" w14:textId="77777777" w:rsidR="00A35334" w:rsidRDefault="00A35334" w:rsidP="00756AD1">
      <w:r>
        <w:separator/>
      </w:r>
    </w:p>
  </w:footnote>
  <w:footnote w:type="continuationSeparator" w:id="0">
    <w:p w14:paraId="1C2E7070" w14:textId="77777777" w:rsidR="00A35334" w:rsidRDefault="00A35334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0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8"/>
  </w:num>
  <w:num w:numId="11" w16cid:durableId="2108964149">
    <w:abstractNumId w:val="25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7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29"/>
  </w:num>
  <w:num w:numId="28" w16cid:durableId="1246260220">
    <w:abstractNumId w:val="2"/>
  </w:num>
  <w:num w:numId="29" w16cid:durableId="2042974332">
    <w:abstractNumId w:val="26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45DF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5A0"/>
    <w:rsid w:val="001B28AA"/>
    <w:rsid w:val="001C4367"/>
    <w:rsid w:val="001D2D53"/>
    <w:rsid w:val="001D3A8A"/>
    <w:rsid w:val="001D4C6D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33D4"/>
    <w:rsid w:val="003F3AAD"/>
    <w:rsid w:val="004066FB"/>
    <w:rsid w:val="00410740"/>
    <w:rsid w:val="00412E66"/>
    <w:rsid w:val="0042020F"/>
    <w:rsid w:val="004221F4"/>
    <w:rsid w:val="00424217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658F"/>
    <w:rsid w:val="00467952"/>
    <w:rsid w:val="00467D57"/>
    <w:rsid w:val="00471168"/>
    <w:rsid w:val="004803AA"/>
    <w:rsid w:val="00483B91"/>
    <w:rsid w:val="004902DC"/>
    <w:rsid w:val="0049435F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2950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19BF"/>
    <w:rsid w:val="008A3E3F"/>
    <w:rsid w:val="008A551F"/>
    <w:rsid w:val="008A73F7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7ACE"/>
    <w:rsid w:val="009F4129"/>
    <w:rsid w:val="009F45EB"/>
    <w:rsid w:val="00A02DFD"/>
    <w:rsid w:val="00A0316B"/>
    <w:rsid w:val="00A04C01"/>
    <w:rsid w:val="00A10EEB"/>
    <w:rsid w:val="00A13118"/>
    <w:rsid w:val="00A1590C"/>
    <w:rsid w:val="00A23D25"/>
    <w:rsid w:val="00A27171"/>
    <w:rsid w:val="00A30A03"/>
    <w:rsid w:val="00A32F17"/>
    <w:rsid w:val="00A35334"/>
    <w:rsid w:val="00A35398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D3E5C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64D"/>
    <w:rsid w:val="00B41801"/>
    <w:rsid w:val="00B42C13"/>
    <w:rsid w:val="00B43C03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F093E"/>
    <w:rsid w:val="00D0399F"/>
    <w:rsid w:val="00D13389"/>
    <w:rsid w:val="00D2247C"/>
    <w:rsid w:val="00D24DA8"/>
    <w:rsid w:val="00D25A8E"/>
    <w:rsid w:val="00D40336"/>
    <w:rsid w:val="00D42896"/>
    <w:rsid w:val="00D47339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2560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D0757"/>
    <w:rsid w:val="00ED2F9D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2378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7</cp:revision>
  <dcterms:created xsi:type="dcterms:W3CDTF">2025-05-22T23:31:00Z</dcterms:created>
  <dcterms:modified xsi:type="dcterms:W3CDTF">2025-05-26T14:08:00Z</dcterms:modified>
</cp:coreProperties>
</file>